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DERSİ EĞİTSEL PERFORMANS BELİRLEME FORMU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Değerlendirme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Öğrencinin dersteki mevcut performansı, sınıf düzeyinin öğrenme çıktılarına göre gözlem, çalışma kâğıdı ve sözlü sorularla belirlenir. Her ünite için uygun sütun işaretlenir; BEP’in uzun ve kısa dönemli amaçları bu forma göre seçilir.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000"/>
        <w:gridCol w:w="4900"/>
        <w:gridCol w:w="900"/>
        <w:gridCol w:w="900"/>
        <w:gridCol w:w="900"/>
      </w:tblGrid>
      <w:tr>
        <w:trPr>
          <w:tblHeader/>
        </w:trPr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</w:t>
            </w:r>
          </w:p>
        </w:tc>
        <w:tc>
          <w:tcPr>
            <w:tcW w:w="4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Yapabiliyor</w:t>
            </w:r>
          </w:p>
        </w:tc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Kısmen</w:t>
            </w:r>
          </w:p>
        </w:tc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Yapamıyor</w:t>
            </w:r>
          </w:p>
        </w:tc>
      </w:tr>
      <w:tr>
        <w:trPr>
          <w:trHeight w:val="380"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</w:rPr>
              <w:t xml:space="preserve">{#uniteler}{unite}</w:t>
            </w:r>
          </w:p>
        </w:tc>
        <w:tc>
          <w:tcPr>
            <w:tcW w:w="4900" w:type="dxa"/>
          </w:tcPr>
          <w:p>
            <w:pPr>
              <w:spacing w:after="0"/>
            </w:pPr>
            <w:r>
              <w:rPr>
                <w:sz w:val="18"/>
              </w:rPr>
              <w:t xml:space="preserve">{ciktilar}</w:t>
            </w:r>
          </w:p>
        </w:tc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{/uniteler}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GÜÇLÜ YÖNLERİ</w:t>
      </w:r>
    </w:p>
    <w:p>
      <w:pPr>
        <w:spacing w:after="100"/>
      </w:pPr>
      <w:r>
        <w:rPr/>
        <w:t xml:space="preserve">……</w:t>
      </w:r>
    </w:p>
    <w:p>
      <w:pPr>
        <w:spacing w:after="120"/>
      </w:pPr>
      <w:r>
        <w:rPr>
          <w:b/>
        </w:rPr>
        <w:t xml:space="preserve">DESTEKLENMESİ GEREKEN YÖNLERİ</w:t>
      </w:r>
    </w:p>
    <w:p>
      <w:pPr>
        <w:spacing w:after="100"/>
      </w:pPr>
      <w:r>
        <w:rPr/>
        <w:t xml:space="preserve">……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