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0"/>
      </w:pPr>
      <w:r>
        <w:rPr>
          <w:b/>
        </w:rPr>
        <w:t xml:space="preserve">T.C.</w:t>
      </w:r>
    </w:p>
    <w:p>
      <w:pPr>
        <w:jc w:val="center"/>
        <w:spacing w:after="0"/>
      </w:pPr>
      <w:r>
        <w:rPr>
          <w:b/>
        </w:rPr>
        <w:t xml:space="preserve">{ilce|buyuk} KAYMAKAMLIĞI</w:t>
      </w:r>
    </w:p>
    <w:p>
      <w:pPr>
        <w:jc w:val="center"/>
        <w:spacing w:after="240"/>
      </w:pPr>
      <w:r>
        <w:rPr>
          <w:b/>
        </w:rPr>
        <w:t xml:space="preserve">{ilce|buyuk} İLÇE MİLLÎ EĞİTİM MÜDÜRLÜĞÜ</w:t>
      </w:r>
    </w:p>
    <w:p>
      <w:pPr>
        <w:jc w:val="center"/>
        <w:spacing w:after="240"/>
      </w:pPr>
      <w:r>
        <w:rPr>
          <w:b/>
          <w:sz w:val="24"/>
        </w:rPr>
        <w:t xml:space="preserve">{egitim_yili|buyuk} EĞİTİM-ÖĞRETİM YILI {brans|buyuk} DERSİ İLÇE ZÜMRE ÖĞRETMENLER KURULU YIL BAŞI TOPLANTI TUTANAĞI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3000"/>
        <w:gridCol w:w="6600"/>
      </w:tblGrid>
      <w:tr>
        <w:trPr>
          <w:trHeight w:val="380"/>
        </w:trPr>
        <w:tc>
          <w:tcPr>
            <w:tcW w:w="3000" w:type="dxa"/>
          </w:tcPr>
          <w:p>
            <w:pPr>
              <w:spacing w:after="0"/>
            </w:pPr>
            <w:r>
              <w:rPr/>
              <w:t xml:space="preserve">Toplantı tarihi</w:t>
            </w:r>
          </w:p>
        </w:tc>
        <w:tc>
          <w:tcPr>
            <w:tcW w:w="6600" w:type="dxa"/>
          </w:tcPr>
          <w:p>
            <w:pPr>
              <w:spacing w:after="0"/>
            </w:pPr>
            <w:r>
              <w:rPr/>
              <w:t xml:space="preserve">{tarih}</w:t>
            </w:r>
          </w:p>
        </w:tc>
      </w:tr>
      <w:tr>
        <w:trPr>
          <w:trHeight w:val="380"/>
        </w:trPr>
        <w:tc>
          <w:tcPr>
            <w:tcW w:w="3000" w:type="dxa"/>
          </w:tcPr>
          <w:p>
            <w:pPr>
              <w:spacing w:after="0"/>
            </w:pPr>
            <w:r>
              <w:rPr/>
              <w:t xml:space="preserve">Toplantı saati</w:t>
            </w:r>
          </w:p>
        </w:tc>
        <w:tc>
          <w:tcPr>
            <w:tcW w:w="6600" w:type="dxa"/>
          </w:tcPr>
          <w:p>
            <w:pPr>
              <w:spacing w:after="0"/>
            </w:pPr>
            <w:r>
              <w:rPr/>
              <w:t xml:space="preserve">……</w:t>
            </w:r>
          </w:p>
        </w:tc>
      </w:tr>
      <w:tr>
        <w:trPr>
          <w:trHeight w:val="380"/>
        </w:trPr>
        <w:tc>
          <w:tcPr>
            <w:tcW w:w="3000" w:type="dxa"/>
          </w:tcPr>
          <w:p>
            <w:pPr>
              <w:spacing w:after="0"/>
            </w:pPr>
            <w:r>
              <w:rPr/>
              <w:t xml:space="preserve">Toplantı yeri</w:t>
            </w:r>
          </w:p>
        </w:tc>
        <w:tc>
          <w:tcPr>
            <w:tcW w:w="6600" w:type="dxa"/>
          </w:tcPr>
          <w:p>
            <w:pPr>
              <w:spacing w:after="0"/>
            </w:pPr>
            <w:r>
              <w:rPr/>
              <w:t xml:space="preserve">……</w:t>
            </w:r>
          </w:p>
        </w:tc>
      </w:tr>
      <w:tr>
        <w:trPr>
          <w:trHeight w:val="380"/>
        </w:trPr>
        <w:tc>
          <w:tcPr>
            <w:tcW w:w="3000" w:type="dxa"/>
          </w:tcPr>
          <w:p>
            <w:pPr>
              <w:spacing w:after="0"/>
            </w:pPr>
            <w:r>
              <w:rPr/>
              <w:t xml:space="preserve">Toplantı başkanı</w:t>
            </w:r>
          </w:p>
        </w:tc>
        <w:tc>
          <w:tcPr>
            <w:tcW w:w="6600" w:type="dxa"/>
          </w:tcPr>
          <w:p>
            <w:pPr>
              <w:spacing w:after="0"/>
            </w:pPr>
            <w:r>
              <w:rPr/>
              <w:t xml:space="preserve">……</w:t>
            </w:r>
          </w:p>
        </w:tc>
      </w:tr>
      <w:tr>
        <w:trPr>
          <w:trHeight w:val="380"/>
        </w:trPr>
        <w:tc>
          <w:tcPr>
            <w:tcW w:w="3000" w:type="dxa"/>
          </w:tcPr>
          <w:p>
            <w:pPr>
              <w:spacing w:after="0"/>
            </w:pPr>
            <w:r>
              <w:rPr/>
              <w:t xml:space="preserve">Yazman</w:t>
            </w:r>
          </w:p>
        </w:tc>
        <w:tc>
          <w:tcPr>
            <w:tcW w:w="6600" w:type="dxa"/>
          </w:tcPr>
          <w:p>
            <w:pPr>
              <w:spacing w:after="0"/>
            </w:pPr>
            <w:r>
              <w:rPr/>
              <w:t xml:space="preserve">……</w:t>
            </w:r>
          </w:p>
        </w:tc>
      </w:tr>
    </w:tbl>
    <w:p>
      <w:pPr>
        <w:spacing w:after="100"/>
      </w:pPr>
    </w:p>
    <w:p>
      <w:pPr>
        <w:spacing w:after="100"/>
      </w:pPr>
      <w:r>
        <w:rPr>
          <w:i/>
        </w:rPr>
        <w:t xml:space="preserve">Toplantıya katılanlar imza bölümünde gösterilmiştir.</w:t>
      </w:r>
    </w:p>
    <w:p>
      <w:pPr>
        <w:spacing w:after="120"/>
      </w:pPr>
      <w:r>
        <w:rPr>
          <w:b/>
        </w:rPr>
        <w:t xml:space="preserve">GÜNDEM</w:t>
      </w:r>
    </w:p>
    <w:p>
      <w:pPr>
        <w:jc w:val="both"/>
        <w:spacing w:after="100"/>
        <w:ind w:left="360" w:hanging="360"/>
      </w:pPr>
      <w:r>
        <w:rPr/>
        <w:t xml:space="preserve">1. Açılış, yoklama ve yazmanın seçimi</w:t>
      </w:r>
    </w:p>
    <w:p>
      <w:pPr>
        <w:jc w:val="both"/>
        <w:spacing w:after="100"/>
        <w:ind w:left="360" w:hanging="360"/>
      </w:pPr>
      <w:r>
        <w:rPr/>
        <w:t xml:space="preserve">2. Okul zümre kararlarının görüşülmesi</w:t>
      </w:r>
    </w:p>
    <w:p>
      <w:pPr>
        <w:jc w:val="both"/>
        <w:spacing w:after="100"/>
        <w:ind w:left="360" w:hanging="360"/>
      </w:pPr>
      <w:r>
        <w:rPr/>
        <w:t xml:space="preserve">3. Mevzuat ve öğretim programları</w:t>
      </w:r>
    </w:p>
    <w:p>
      <w:pPr>
        <w:jc w:val="both"/>
        <w:spacing w:after="100"/>
        <w:ind w:left="360" w:hanging="360"/>
      </w:pPr>
      <w:r>
        <w:rPr/>
        <w:t xml:space="preserve">4. Ortak sınavlar ve ölçme-değerlendirme</w:t>
      </w:r>
    </w:p>
    <w:p>
      <w:pPr>
        <w:jc w:val="both"/>
        <w:spacing w:after="100"/>
        <w:ind w:left="360" w:hanging="360"/>
      </w:pPr>
      <w:r>
        <w:rPr/>
        <w:t xml:space="preserve">5. Geçen yılın başarı durumu</w:t>
      </w:r>
    </w:p>
    <w:p>
      <w:pPr>
        <w:jc w:val="both"/>
        <w:spacing w:after="100"/>
        <w:ind w:left="360" w:hanging="360"/>
      </w:pPr>
      <w:r>
        <w:rPr/>
        <w:t xml:space="preserve">6. Materyal ve iyi örneklerin paylaşılması</w:t>
      </w:r>
    </w:p>
    <w:p>
      <w:pPr>
        <w:jc w:val="both"/>
        <w:spacing w:after="100"/>
        <w:ind w:left="360" w:hanging="360"/>
      </w:pPr>
      <w:r>
        <w:rPr/>
        <w:t xml:space="preserve">7. Özel eğitim ve destekleme-yetiştirme</w:t>
      </w:r>
    </w:p>
    <w:p>
      <w:pPr>
        <w:jc w:val="both"/>
        <w:spacing w:after="100"/>
        <w:ind w:left="360" w:hanging="360"/>
      </w:pPr>
      <w:r>
        <w:rPr/>
        <w:t xml:space="preserve">8. Belirli gün ve haftalar, okullar arası etkinlikler</w:t>
      </w:r>
    </w:p>
    <w:p>
      <w:pPr>
        <w:jc w:val="both"/>
        <w:spacing w:after="100"/>
        <w:ind w:left="360" w:hanging="360"/>
      </w:pPr>
      <w:r>
        <w:rPr/>
        <w:t xml:space="preserve">9. İl zümresine iletilecek öneriler</w:t>
      </w:r>
    </w:p>
    <w:p>
      <w:pPr>
        <w:jc w:val="both"/>
        <w:spacing w:after="100"/>
        <w:ind w:left="360" w:hanging="360"/>
      </w:pPr>
      <w:r>
        <w:rPr/>
        <w:t xml:space="preserve">10. Dilek ve temenniler</w:t>
      </w:r>
    </w:p>
    <w:p>
      <w:pPr>
        <w:spacing w:after="100"/>
      </w:pPr>
    </w:p>
    <w:p>
      <w:pPr>
        <w:spacing w:after="120"/>
      </w:pPr>
      <w:r>
        <w:rPr>
          <w:b/>
        </w:rPr>
        <w:t xml:space="preserve">GÜNDEM MADDELERİNİN GÖRÜŞÜLMESİ</w:t>
      </w:r>
    </w:p>
    <w:p>
      <w:pPr>
        <w:jc w:val="both"/>
        <w:spacing w:after="120"/>
      </w:pPr>
      <w:r>
        <w:rPr>
          <w:b/>
        </w:rPr>
        <w:t xml:space="preserve">1. Açılış, yoklama ve yazmanın seçimi: </w:t>
      </w:r>
      <w:r>
        <w:rPr/>
        <w:t xml:space="preserve">Toplantı saygı duruşu ve İstiklal Marşı ile açıldı, yoklama yapıldı. İlçedeki okulların zümre başkanlarının katılımıyla toplantı yazmanı belirlendi.</w:t>
      </w:r>
    </w:p>
    <w:p>
      <w:pPr>
        <w:jc w:val="both"/>
        <w:spacing w:after="120"/>
      </w:pPr>
      <w:r>
        <w:rPr>
          <w:b/>
        </w:rPr>
        <w:t xml:space="preserve">2. Okul zümre kararlarının görüşülmesi: </w:t>
      </w:r>
      <w:r>
        <w:rPr/>
        <w:t xml:space="preserve">Okul zümre öğretmenler kurulu tutanakları gözden geçirildi; okulların yıllık plan, ölçme-değerlendirme ve öğretim süreçlerine ilişkin kararları karşılaştırılarak ilçe genelinde ortak uygulamalar belirlendi.</w:t>
      </w:r>
    </w:p>
    <w:p>
      <w:pPr>
        <w:jc w:val="both"/>
        <w:spacing w:after="120"/>
      </w:pPr>
      <w:r>
        <w:rPr>
          <w:b/>
        </w:rPr>
        <w:t xml:space="preserve">3. Mevzuat ve öğretim programları: </w:t>
      </w:r>
      <w:r>
        <w:rPr/>
        <w:t xml:space="preserve">Türkiye Yüzyılı Maarif Modeli öğretim programları 2026-2027 eğitim-öğretim yılında ortaokul 5, 6 ve 7. sınıflarda uygulanmakta, 8. sınıflarda ise mevcut öğretim programı sürdürülmektedir. Yönetmelik değişiklikleri ve Bakanlığın yayımladığı çerçeve yıllık planlar üzerinde durularak öğrenme çıktılarının ilçe genelinde aynı sıra ve sürede ele alınması görüşüldü.</w:t>
      </w:r>
    </w:p>
    <w:p>
      <w:pPr>
        <w:jc w:val="both"/>
        <w:spacing w:after="120"/>
      </w:pPr>
      <w:r>
        <w:rPr>
          <w:b/>
        </w:rPr>
        <w:t xml:space="preserve">4. Ortak sınavlar ve ölçme-değerlendirme: </w:t>
      </w:r>
      <w:r>
        <w:rPr/>
        <w:t xml:space="preserve">Her dönemde yapılacak yazılı sınavlar, Bakanlıkça yapılacak ortak yazılı sınavların takvimi ve kılavuzu ile süreç değerlendirme araçlarının (gözlem formu, kontrol listesi, dereceli puanlama anahtarı) okullarda benzer biçimde kullanılması görüşüldü. Proje ödevlerinin ders yılı içinde verilip hazırlandığı dönemde değerlendirileceği hatırlatıldı.</w:t>
      </w:r>
    </w:p>
    <w:p>
      <w:pPr>
        <w:jc w:val="both"/>
        <w:spacing w:after="120"/>
      </w:pPr>
      <w:r>
        <w:rPr>
          <w:b/>
        </w:rPr>
        <w:t xml:space="preserve">5. Geçen yılın başarı durumu: </w:t>
      </w:r>
      <w:r>
        <w:rPr/>
        <w:t xml:space="preserve">Geçen eğitim-öğretim yılının ders başarı durumu ile 8. sınıflarda merkezî sınav sonuçları değerlendirildi; başarının düşük kaldığı öğrenme çıktıları için ilçe genelinde ortak tekrar ve destek çalışmaları önerildi.</w:t>
      </w:r>
    </w:p>
    <w:p>
      <w:pPr>
        <w:jc w:val="both"/>
        <w:spacing w:after="120"/>
      </w:pPr>
      <w:r>
        <w:rPr>
          <w:b/>
        </w:rPr>
        <w:t xml:space="preserve">6. Materyal ve iyi örneklerin paylaşılması: </w:t>
      </w:r>
      <w:r>
        <w:rPr/>
        <w:t xml:space="preserve">Okulların hazırladığı çalışma kâğıtları, dijital içerikler ve etkinliklerin zümre başkanları aracılığıyla ilçedeki okullarla paylaşılması kararlaştırıldı.</w:t>
      </w:r>
    </w:p>
    <w:p>
      <w:pPr>
        <w:jc w:val="both"/>
        <w:spacing w:after="120"/>
      </w:pPr>
      <w:r>
        <w:rPr>
          <w:b/>
        </w:rPr>
        <w:t xml:space="preserve">7. Özel eğitim ve destekleme-yetiştirme: </w:t>
      </w:r>
      <w:r>
        <w:rPr/>
        <w:t xml:space="preserve">Kaynaştırma/bütünleştirme yoluyla eğitim alan öğrenciler için BEP uygulamaları ve destekleme-yetiştirme kurslarının planlanması konusunda görüş alışverişinde bulunuldu.</w:t>
      </w:r>
    </w:p>
    <w:p>
      <w:pPr>
        <w:jc w:val="both"/>
        <w:spacing w:after="120"/>
      </w:pPr>
      <w:r>
        <w:rPr>
          <w:b/>
        </w:rPr>
        <w:t xml:space="preserve">8. Belirli gün ve haftalar, okullar arası etkinlikler: </w:t>
      </w:r>
      <w:r>
        <w:rPr/>
        <w:t xml:space="preserve">Belirli gün ve haftalarda yapılacak etkinlikler ile okullar arası yarışma ve ortak etkinliklerin planlanması görüşüldü.</w:t>
      </w:r>
    </w:p>
    <w:p>
      <w:pPr>
        <w:jc w:val="both"/>
        <w:spacing w:after="120"/>
      </w:pPr>
      <w:r>
        <w:rPr>
          <w:b/>
        </w:rPr>
        <w:t xml:space="preserve">9. İl zümresine iletilecek öneriler: </w:t>
      </w:r>
      <w:r>
        <w:rPr/>
        <w:t xml:space="preserve">İlçe genelinde ortaya çıkan ihtiyaç ve öneriler il zümre öğretmenler kuruluna iletilmek üzere belirlendi.</w:t>
      </w:r>
    </w:p>
    <w:p>
      <w:pPr>
        <w:jc w:val="both"/>
        <w:spacing w:after="120"/>
      </w:pPr>
      <w:r>
        <w:rPr>
          <w:b/>
        </w:rPr>
        <w:t xml:space="preserve">10. Dilek ve temenniler: </w:t>
      </w:r>
      <w:r>
        <w:rPr/>
        <w:t xml:space="preserve">Yeni eğitim-öğretim yılının başarılı geçmesi dileğiyle toplantı sona erdi.</w:t>
      </w:r>
    </w:p>
    <w:p>
      <w:pPr>
        <w:spacing w:after="120"/>
      </w:pPr>
      <w:r>
        <w:rPr>
          <w:b/>
        </w:rPr>
        <w:t xml:space="preserve">ALINAN KARARLAR</w:t>
      </w:r>
    </w:p>
    <w:p>
      <w:pPr>
        <w:jc w:val="both"/>
        <w:spacing w:after="100"/>
        <w:ind w:left="360" w:hanging="360"/>
      </w:pPr>
      <w:r>
        <w:rPr/>
        <w:t xml:space="preserve">1. Yıllık planlar Bakanlığın çerçeve planları esas alınarak hazırlanacak; öğrenme çıktıları ilçe genelinde aynı sıra ve sürede işlenecektir.</w:t>
      </w:r>
    </w:p>
    <w:p>
      <w:pPr>
        <w:jc w:val="both"/>
        <w:spacing w:after="100"/>
        <w:ind w:left="360" w:hanging="360"/>
      </w:pPr>
      <w:r>
        <w:rPr/>
        <w:t xml:space="preserve">2. Yazılı ve ortak sınavlarda Bakanlığın takvim ve kılavuzuna uyulacak; süreç değerlendirme araçları ortak kullanılacaktır.</w:t>
      </w:r>
    </w:p>
    <w:p>
      <w:pPr>
        <w:jc w:val="both"/>
        <w:spacing w:after="100"/>
        <w:ind w:left="360" w:hanging="360"/>
      </w:pPr>
      <w:r>
        <w:rPr/>
        <w:t xml:space="preserve">3. Başarının düşük kaldığı öğrenme çıktıları için okullarda ek tekrar ve destek çalışmaları yapılacaktır.</w:t>
      </w:r>
    </w:p>
    <w:p>
      <w:pPr>
        <w:jc w:val="both"/>
        <w:spacing w:after="100"/>
        <w:ind w:left="360" w:hanging="360"/>
      </w:pPr>
      <w:r>
        <w:rPr/>
        <w:t xml:space="preserve">4. Hazırlanan materyal ve iyi örnekler zümre başkanları aracılığıyla ilçedeki okullarla paylaşılacaktır.</w:t>
      </w:r>
    </w:p>
    <w:p>
      <w:pPr>
        <w:jc w:val="both"/>
        <w:spacing w:after="100"/>
        <w:ind w:left="360" w:hanging="360"/>
      </w:pPr>
      <w:r>
        <w:rPr/>
        <w:t xml:space="preserve">5. İlçe zümre kararları okul zümre başkanlarınca okullardaki zümre öğretmenlerine duyurulacaktır.</w:t>
      </w:r>
    </w:p>
    <w:p>
      <w:pPr>
        <w:jc w:val="both"/>
        <w:spacing w:after="100"/>
        <w:ind w:left="360" w:hanging="360"/>
      </w:pPr>
      <w:r>
        <w:rPr/>
        <w:t xml:space="preserve">6. Belirlenen öneriler il zümre öğretmenler kuruluna iletilecektir.</w:t>
      </w:r>
    </w:p>
    <w:p>
      <w:pPr>
        <w:spacing w:after="100"/>
      </w:pPr>
    </w:p>
    <w:p>
      <w:pPr>
        <w:spacing w:after="120"/>
      </w:pPr>
      <w:r>
        <w:rPr>
          <w:b/>
        </w:rPr>
        <w:t xml:space="preserve">İLÇE ZÜMRE ÖĞRETMENLERİ (OKUL ZÜMRE BAŞKANLARI)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3300"/>
        <w:gridCol w:w="3100"/>
        <w:gridCol w:w="1900"/>
        <w:gridCol w:w="1300"/>
      </w:tblGrid>
      <w:tr>
        <w:trPr>
          <w:tblHeader/>
        </w:trPr>
        <w:tc>
          <w:tcPr>
            <w:tcW w:w="3300" w:type="dxa"/>
            <w:shd w:val="clear" w:color="auto" w:fill="E7EEF5"/>
          </w:tcPr>
          <w:p>
            <w:pPr>
              <w:spacing w:after="0"/>
            </w:pPr>
            <w:r>
              <w:rPr>
                <w:b/>
              </w:rPr>
              <w:t xml:space="preserve">Okulu</w:t>
            </w:r>
          </w:p>
        </w:tc>
        <w:tc>
          <w:tcPr>
            <w:tcW w:w="3100" w:type="dxa"/>
            <w:shd w:val="clear" w:color="auto" w:fill="E7EEF5"/>
          </w:tcPr>
          <w:p>
            <w:pPr>
              <w:spacing w:after="0"/>
            </w:pPr>
            <w:r>
              <w:rPr>
                <w:b/>
              </w:rPr>
              <w:t xml:space="preserve">Adı Soyadı</w:t>
            </w:r>
          </w:p>
        </w:tc>
        <w:tc>
          <w:tcPr>
            <w:tcW w:w="1900" w:type="dxa"/>
            <w:shd w:val="clear" w:color="auto" w:fill="E7EEF5"/>
          </w:tcPr>
          <w:p>
            <w:pPr>
              <w:spacing w:after="0"/>
            </w:pPr>
            <w:r>
              <w:rPr>
                <w:b/>
              </w:rPr>
              <w:t xml:space="preserve">Branşı</w:t>
            </w:r>
          </w:p>
        </w:tc>
        <w:tc>
          <w:tcPr>
            <w:tcW w:w="1300" w:type="dxa"/>
            <w:shd w:val="clear" w:color="auto" w:fill="E7EEF5"/>
          </w:tcPr>
          <w:p>
            <w:pPr>
              <w:spacing w:after="0"/>
            </w:pPr>
            <w:r>
              <w:rPr>
                <w:b/>
              </w:rPr>
              <w:t xml:space="preserve">İmza</w:t>
            </w:r>
          </w:p>
        </w:tc>
      </w:tr>
      <w:tr>
        <w:trPr>
          <w:trHeight w:val="380"/>
        </w:trPr>
        <w:tc>
          <w:tcPr>
            <w:tcW w:w="3300" w:type="dxa"/>
          </w:tcPr>
          <w:p>
            <w:pPr>
              <w:spacing w:after="0"/>
            </w:pPr>
            <w:r>
              <w:rPr/>
              <w:t xml:space="preserve">{okul}</w:t>
            </w:r>
          </w:p>
        </w:tc>
        <w:tc>
          <w:tcPr>
            <w:tcW w:w="3100" w:type="dxa"/>
          </w:tcPr>
          <w:p>
            <w:pPr>
              <w:spacing w:after="0"/>
            </w:pPr>
            <w:r>
              <w:rPr/>
              <w:t xml:space="preserve">{zumre_baskani}</w:t>
            </w:r>
          </w:p>
        </w:tc>
        <w:tc>
          <w:tcPr>
            <w:tcW w:w="1900" w:type="dxa"/>
          </w:tcPr>
          <w:p>
            <w:pPr>
              <w:spacing w:after="0"/>
            </w:pPr>
            <w:r>
              <w:rPr/>
              <w:t xml:space="preserve">{brans}</w:t>
            </w:r>
          </w:p>
        </w:tc>
        <w:tc>
          <w:tcPr>
            <w:tcW w:w="1300" w:type="dxa"/>
          </w:tcPr>
          <w:p>
            <w:pPr>
              <w:spacing w:after="0"/>
            </w:pPr>
          </w:p>
        </w:tc>
      </w:tr>
      <w:tr>
        <w:trPr>
          <w:trHeight w:val="380"/>
        </w:trPr>
        <w:tc>
          <w:tcPr>
            <w:tcW w:w="3300" w:type="dxa"/>
          </w:tcPr>
          <w:p>
            <w:pPr>
              <w:spacing w:after="0"/>
            </w:pPr>
          </w:p>
        </w:tc>
        <w:tc>
          <w:tcPr>
            <w:tcW w:w="3100" w:type="dxa"/>
          </w:tcPr>
          <w:p>
            <w:pPr>
              <w:spacing w:after="0"/>
            </w:pPr>
          </w:p>
        </w:tc>
        <w:tc>
          <w:tcPr>
            <w:tcW w:w="1900" w:type="dxa"/>
          </w:tcPr>
          <w:p>
            <w:pPr>
              <w:spacing w:after="0"/>
            </w:pPr>
            <w:r>
              <w:rPr/>
              <w:t xml:space="preserve">{brans}</w:t>
            </w:r>
          </w:p>
        </w:tc>
        <w:tc>
          <w:tcPr>
            <w:tcW w:w="1300" w:type="dxa"/>
          </w:tcPr>
          <w:p>
            <w:pPr>
              <w:spacing w:after="0"/>
            </w:pPr>
          </w:p>
        </w:tc>
      </w:tr>
      <w:tr>
        <w:trPr>
          <w:trHeight w:val="380"/>
        </w:trPr>
        <w:tc>
          <w:tcPr>
            <w:tcW w:w="3300" w:type="dxa"/>
          </w:tcPr>
          <w:p>
            <w:pPr>
              <w:spacing w:after="0"/>
            </w:pPr>
          </w:p>
        </w:tc>
        <w:tc>
          <w:tcPr>
            <w:tcW w:w="3100" w:type="dxa"/>
          </w:tcPr>
          <w:p>
            <w:pPr>
              <w:spacing w:after="0"/>
            </w:pPr>
          </w:p>
        </w:tc>
        <w:tc>
          <w:tcPr>
            <w:tcW w:w="1900" w:type="dxa"/>
          </w:tcPr>
          <w:p>
            <w:pPr>
              <w:spacing w:after="0"/>
            </w:pPr>
            <w:r>
              <w:rPr/>
              <w:t xml:space="preserve">{brans}</w:t>
            </w:r>
          </w:p>
        </w:tc>
        <w:tc>
          <w:tcPr>
            <w:tcW w:w="1300" w:type="dxa"/>
          </w:tcPr>
          <w:p>
            <w:pPr>
              <w:spacing w:after="0"/>
            </w:pPr>
          </w:p>
        </w:tc>
      </w:tr>
      <w:tr>
        <w:trPr>
          <w:trHeight w:val="380"/>
        </w:trPr>
        <w:tc>
          <w:tcPr>
            <w:tcW w:w="3300" w:type="dxa"/>
          </w:tcPr>
          <w:p>
            <w:pPr>
              <w:spacing w:after="0"/>
            </w:pPr>
          </w:p>
        </w:tc>
        <w:tc>
          <w:tcPr>
            <w:tcW w:w="3100" w:type="dxa"/>
          </w:tcPr>
          <w:p>
            <w:pPr>
              <w:spacing w:after="0"/>
            </w:pPr>
          </w:p>
        </w:tc>
        <w:tc>
          <w:tcPr>
            <w:tcW w:w="1900" w:type="dxa"/>
          </w:tcPr>
          <w:p>
            <w:pPr>
              <w:spacing w:after="0"/>
            </w:pPr>
            <w:r>
              <w:rPr/>
              <w:t xml:space="preserve">{brans}</w:t>
            </w:r>
          </w:p>
        </w:tc>
        <w:tc>
          <w:tcPr>
            <w:tcW w:w="1300" w:type="dxa"/>
          </w:tcPr>
          <w:p>
            <w:pPr>
              <w:spacing w:after="0"/>
            </w:pPr>
          </w:p>
        </w:tc>
      </w:tr>
      <w:tr>
        <w:trPr>
          <w:trHeight w:val="380"/>
        </w:trPr>
        <w:tc>
          <w:tcPr>
            <w:tcW w:w="3300" w:type="dxa"/>
          </w:tcPr>
          <w:p>
            <w:pPr>
              <w:spacing w:after="0"/>
            </w:pPr>
          </w:p>
        </w:tc>
        <w:tc>
          <w:tcPr>
            <w:tcW w:w="3100" w:type="dxa"/>
          </w:tcPr>
          <w:p>
            <w:pPr>
              <w:spacing w:after="0"/>
            </w:pPr>
          </w:p>
        </w:tc>
        <w:tc>
          <w:tcPr>
            <w:tcW w:w="1900" w:type="dxa"/>
          </w:tcPr>
          <w:p>
            <w:pPr>
              <w:spacing w:after="0"/>
            </w:pPr>
            <w:r>
              <w:rPr/>
              <w:t xml:space="preserve">{brans}</w:t>
            </w:r>
          </w:p>
        </w:tc>
        <w:tc>
          <w:tcPr>
            <w:tcW w:w="1300" w:type="dxa"/>
          </w:tcPr>
          <w:p>
            <w:pPr>
              <w:spacing w:after="0"/>
            </w:pPr>
          </w:p>
        </w:tc>
      </w:tr>
      <w:tr>
        <w:trPr>
          <w:trHeight w:val="380"/>
        </w:trPr>
        <w:tc>
          <w:tcPr>
            <w:tcW w:w="3300" w:type="dxa"/>
          </w:tcPr>
          <w:p>
            <w:pPr>
              <w:spacing w:after="0"/>
            </w:pPr>
          </w:p>
        </w:tc>
        <w:tc>
          <w:tcPr>
            <w:tcW w:w="3100" w:type="dxa"/>
          </w:tcPr>
          <w:p>
            <w:pPr>
              <w:spacing w:after="0"/>
            </w:pPr>
          </w:p>
        </w:tc>
        <w:tc>
          <w:tcPr>
            <w:tcW w:w="1900" w:type="dxa"/>
          </w:tcPr>
          <w:p>
            <w:pPr>
              <w:spacing w:after="0"/>
            </w:pPr>
            <w:r>
              <w:rPr/>
              <w:t xml:space="preserve">{brans}</w:t>
            </w:r>
          </w:p>
        </w:tc>
        <w:tc>
          <w:tcPr>
            <w:tcW w:w="1300" w:type="dxa"/>
          </w:tcPr>
          <w:p>
            <w:pPr>
              <w:spacing w:after="0"/>
            </w:pPr>
          </w:p>
        </w:tc>
      </w:tr>
      <w:tr>
        <w:trPr>
          <w:trHeight w:val="380"/>
        </w:trPr>
        <w:tc>
          <w:tcPr>
            <w:tcW w:w="3300" w:type="dxa"/>
          </w:tcPr>
          <w:p>
            <w:pPr>
              <w:spacing w:after="0"/>
            </w:pPr>
          </w:p>
        </w:tc>
        <w:tc>
          <w:tcPr>
            <w:tcW w:w="3100" w:type="dxa"/>
          </w:tcPr>
          <w:p>
            <w:pPr>
              <w:spacing w:after="0"/>
            </w:pPr>
          </w:p>
        </w:tc>
        <w:tc>
          <w:tcPr>
            <w:tcW w:w="1900" w:type="dxa"/>
          </w:tcPr>
          <w:p>
            <w:pPr>
              <w:spacing w:after="0"/>
            </w:pPr>
            <w:r>
              <w:rPr/>
              <w:t xml:space="preserve">{brans}</w:t>
            </w:r>
          </w:p>
        </w:tc>
        <w:tc>
          <w:tcPr>
            <w:tcW w:w="1300" w:type="dxa"/>
          </w:tcPr>
          <w:p>
            <w:pPr>
              <w:spacing w:after="0"/>
            </w:pPr>
          </w:p>
        </w:tc>
      </w:tr>
      <w:tr>
        <w:trPr>
          <w:trHeight w:val="380"/>
        </w:trPr>
        <w:tc>
          <w:tcPr>
            <w:tcW w:w="3300" w:type="dxa"/>
          </w:tcPr>
          <w:p>
            <w:pPr>
              <w:spacing w:after="0"/>
            </w:pPr>
          </w:p>
        </w:tc>
        <w:tc>
          <w:tcPr>
            <w:tcW w:w="3100" w:type="dxa"/>
          </w:tcPr>
          <w:p>
            <w:pPr>
              <w:spacing w:after="0"/>
            </w:pPr>
          </w:p>
        </w:tc>
        <w:tc>
          <w:tcPr>
            <w:tcW w:w="1900" w:type="dxa"/>
          </w:tcPr>
          <w:p>
            <w:pPr>
              <w:spacing w:after="0"/>
            </w:pPr>
            <w:r>
              <w:rPr/>
              <w:t xml:space="preserve">{brans}</w:t>
            </w:r>
          </w:p>
        </w:tc>
        <w:tc>
          <w:tcPr>
            <w:tcW w:w="1300" w:type="dxa"/>
          </w:tcPr>
          <w:p>
            <w:pPr>
              <w:spacing w:after="0"/>
            </w:pPr>
          </w:p>
        </w:tc>
      </w:tr>
      <w:tr>
        <w:trPr>
          <w:trHeight w:val="380"/>
        </w:trPr>
        <w:tc>
          <w:tcPr>
            <w:tcW w:w="3300" w:type="dxa"/>
          </w:tcPr>
          <w:p>
            <w:pPr>
              <w:spacing w:after="0"/>
            </w:pPr>
          </w:p>
        </w:tc>
        <w:tc>
          <w:tcPr>
            <w:tcW w:w="3100" w:type="dxa"/>
          </w:tcPr>
          <w:p>
            <w:pPr>
              <w:spacing w:after="0"/>
            </w:pPr>
          </w:p>
        </w:tc>
        <w:tc>
          <w:tcPr>
            <w:tcW w:w="1900" w:type="dxa"/>
          </w:tcPr>
          <w:p>
            <w:pPr>
              <w:spacing w:after="0"/>
            </w:pPr>
            <w:r>
              <w:rPr/>
              <w:t xml:space="preserve">{brans}</w:t>
            </w:r>
          </w:p>
        </w:tc>
        <w:tc>
          <w:tcPr>
            <w:tcW w:w="1300" w:type="dxa"/>
          </w:tcPr>
          <w:p>
            <w:pPr>
              <w:spacing w:after="0"/>
            </w:pPr>
          </w:p>
        </w:tc>
      </w:tr>
      <w:tr>
        <w:trPr>
          <w:trHeight w:val="380"/>
        </w:trPr>
        <w:tc>
          <w:tcPr>
            <w:tcW w:w="3300" w:type="dxa"/>
          </w:tcPr>
          <w:p>
            <w:pPr>
              <w:spacing w:after="0"/>
            </w:pPr>
          </w:p>
        </w:tc>
        <w:tc>
          <w:tcPr>
            <w:tcW w:w="3100" w:type="dxa"/>
          </w:tcPr>
          <w:p>
            <w:pPr>
              <w:spacing w:after="0"/>
            </w:pPr>
          </w:p>
        </w:tc>
        <w:tc>
          <w:tcPr>
            <w:tcW w:w="1900" w:type="dxa"/>
          </w:tcPr>
          <w:p>
            <w:pPr>
              <w:spacing w:after="0"/>
            </w:pPr>
            <w:r>
              <w:rPr/>
              <w:t xml:space="preserve">{brans}</w:t>
            </w:r>
          </w:p>
        </w:tc>
        <w:tc>
          <w:tcPr>
            <w:tcW w:w="1300" w:type="dxa"/>
          </w:tcPr>
          <w:p>
            <w:pPr>
              <w:spacing w:after="0"/>
            </w:pPr>
          </w:p>
        </w:tc>
      </w:tr>
      <w:tr>
        <w:trPr>
          <w:trHeight w:val="380"/>
        </w:trPr>
        <w:tc>
          <w:tcPr>
            <w:tcW w:w="3300" w:type="dxa"/>
          </w:tcPr>
          <w:p>
            <w:pPr>
              <w:spacing w:after="0"/>
            </w:pPr>
          </w:p>
        </w:tc>
        <w:tc>
          <w:tcPr>
            <w:tcW w:w="3100" w:type="dxa"/>
          </w:tcPr>
          <w:p>
            <w:pPr>
              <w:spacing w:after="0"/>
            </w:pPr>
          </w:p>
        </w:tc>
        <w:tc>
          <w:tcPr>
            <w:tcW w:w="1900" w:type="dxa"/>
          </w:tcPr>
          <w:p>
            <w:pPr>
              <w:spacing w:after="0"/>
            </w:pPr>
            <w:r>
              <w:rPr/>
              <w:t xml:space="preserve">{brans}</w:t>
            </w:r>
          </w:p>
        </w:tc>
        <w:tc>
          <w:tcPr>
            <w:tcW w:w="1300" w:type="dxa"/>
          </w:tcPr>
          <w:p>
            <w:pPr>
              <w:spacing w:after="0"/>
            </w:pPr>
          </w:p>
        </w:tc>
      </w:tr>
      <w:tr>
        <w:trPr>
          <w:trHeight w:val="380"/>
        </w:trPr>
        <w:tc>
          <w:tcPr>
            <w:tcW w:w="3300" w:type="dxa"/>
          </w:tcPr>
          <w:p>
            <w:pPr>
              <w:spacing w:after="0"/>
            </w:pPr>
          </w:p>
        </w:tc>
        <w:tc>
          <w:tcPr>
            <w:tcW w:w="3100" w:type="dxa"/>
          </w:tcPr>
          <w:p>
            <w:pPr>
              <w:spacing w:after="0"/>
            </w:pPr>
          </w:p>
        </w:tc>
        <w:tc>
          <w:tcPr>
            <w:tcW w:w="1900" w:type="dxa"/>
          </w:tcPr>
          <w:p>
            <w:pPr>
              <w:spacing w:after="0"/>
            </w:pPr>
            <w:r>
              <w:rPr/>
              <w:t xml:space="preserve">{brans}</w:t>
            </w:r>
          </w:p>
        </w:tc>
        <w:tc>
          <w:tcPr>
            <w:tcW w:w="1300" w:type="dxa"/>
          </w:tcPr>
          <w:p>
            <w:pPr>
              <w:spacing w:after="0"/>
            </w:pPr>
          </w:p>
        </w:tc>
      </w:tr>
    </w:tbl>
    <w:p>
      <w:pPr>
        <w:spacing w:after="10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4800"/>
        <w:gridCol w:w="4800"/>
      </w:tblGrid>
      <w:tr>
        <w:trPr>
          <w:tblHeader/>
        </w:trPr>
        <w:tc>
          <w:tcPr>
            <w:tcW w:w="4800" w:type="dxa"/>
            <w:shd w:val="clear" w:color="auto" w:fill="E7EEF5"/>
          </w:tcPr>
          <w:p>
            <w:pPr>
              <w:spacing w:after="0"/>
            </w:pPr>
            <w:r>
              <w:rPr>
                <w:b/>
              </w:rPr>
              <w:t xml:space="preserve">Yazman</w:t>
            </w:r>
          </w:p>
        </w:tc>
        <w:tc>
          <w:tcPr>
            <w:tcW w:w="4800" w:type="dxa"/>
            <w:shd w:val="clear" w:color="auto" w:fill="E7EEF5"/>
          </w:tcPr>
          <w:p>
            <w:pPr>
              <w:spacing w:after="0"/>
            </w:pPr>
            <w:r>
              <w:rPr>
                <w:b/>
              </w:rPr>
              <w:t xml:space="preserve">Toplantı Başkanı</w:t>
            </w:r>
          </w:p>
        </w:tc>
      </w:tr>
      <w:tr>
        <w:trPr>
          <w:trHeight w:val="380"/>
        </w:trPr>
        <w:tc>
          <w:tcPr>
            <w:tcW w:w="4800" w:type="dxa"/>
          </w:tcPr>
          <w:p>
            <w:pPr>
              <w:spacing w:after="0"/>
            </w:pPr>
            <w:r>
              <w:rPr/>
              <w:t xml:space="preserve">……</w:t>
            </w:r>
          </w:p>
        </w:tc>
        <w:tc>
          <w:tcPr>
            <w:tcW w:w="4800" w:type="dxa"/>
          </w:tcPr>
          <w:p>
            <w:pPr>
              <w:spacing w:after="0"/>
            </w:pPr>
            <w:r>
              <w:rPr/>
              <w:t xml:space="preserve">……</w:t>
            </w:r>
          </w:p>
        </w:tc>
      </w:tr>
    </w:tbl>
    <w:sectPr>
      <w:pgSz w:w="11906" w:h="16838"/>
      <w:pgMar w:top="1000" w:right="1000" w:bottom="1000" w:left="1000" w:header="567" w:footer="567" w:gutter="0"/>
    </w:sectPr>
  </w:body>
</w:document>
</file>

<file path=word/styles.xml><?xml version="1.0" encoding="utf-8"?>
<w:styles xmlns:w="http://schemas.openxmlformats.org/wordprocessingml/2006/main">
  <w:docDefaults>
    <w:rPrDefault>
      <w:rPr>
        <w:rFonts w:ascii="Times New Roman" w:hAnsi="Times New Roman" w:cs="Times New Roman"/>
        <w:sz w:val="22"/>
        <w:lang w:val="tr-TR"/>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