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pPr>
      <w:r>
        <w:rPr>
          <w:b/>
        </w:rPr>
        <w:t xml:space="preserve">T.C.</w:t>
      </w:r>
    </w:p>
    <w:p>
      <w:pPr>
        <w:jc w:val="center"/>
        <w:spacing w:after="0"/>
      </w:pPr>
      <w:r>
        <w:rPr>
          <w:b/>
        </w:rPr>
        <w:t xml:space="preserve">{ilce|buyuk} KAYMAKAMLIĞI</w:t>
      </w:r>
    </w:p>
    <w:p>
      <w:pPr>
        <w:jc w:val="center"/>
        <w:spacing w:after="240"/>
      </w:pPr>
      <w:r>
        <w:rPr>
          <w:b/>
        </w:rPr>
        <w:t xml:space="preserve">{okul|buyuk} MÜDÜRLÜĞÜ</w:t>
      </w:r>
    </w:p>
    <w:p>
      <w:pPr>
        <w:jc w:val="center"/>
        <w:spacing w:after="240"/>
      </w:pPr>
      <w:r>
        <w:rPr>
          <w:b/>
          <w:sz w:val="24"/>
        </w:rPr>
        <w:t xml:space="preserve">{egitim_yili|buyuk} EĞİTİM-ÖĞRETİM YILI {brans|buyuk} ZÜMRE ÖĞRETMENLER KURULU YIL BAŞI TOPLANTI TUTANAĞI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000"/>
        <w:gridCol w:w="6600"/>
      </w:tblGrid>
      <w:tr>
        <w:trPr>
          <w:trHeight w:val="380"/>
        </w:trPr>
        <w:tc>
          <w:tcPr>
            <w:tcW w:w="3000" w:type="dxa"/>
          </w:tcPr>
          <w:p>
            <w:pPr>
              <w:spacing w:after="0"/>
            </w:pPr>
            <w:r>
              <w:rPr/>
              <w:t xml:space="preserve">Toplantı tarihi</w:t>
            </w:r>
          </w:p>
        </w:tc>
        <w:tc>
          <w:tcPr>
            <w:tcW w:w="6600" w:type="dxa"/>
          </w:tcPr>
          <w:p>
            <w:pPr>
              <w:spacing w:after="0"/>
            </w:pPr>
            <w:r>
              <w:rPr/>
              <w:t xml:space="preserve">{tarih}</w:t>
            </w:r>
          </w:p>
        </w:tc>
      </w:tr>
      <w:tr>
        <w:trPr>
          <w:trHeight w:val="380"/>
        </w:trPr>
        <w:tc>
          <w:tcPr>
            <w:tcW w:w="3000" w:type="dxa"/>
          </w:tcPr>
          <w:p>
            <w:pPr>
              <w:spacing w:after="0"/>
            </w:pPr>
            <w:r>
              <w:rPr/>
              <w:t xml:space="preserve">Toplantı saati</w:t>
            </w:r>
          </w:p>
        </w:tc>
        <w:tc>
          <w:tcPr>
            <w:tcW w:w="6600" w:type="dxa"/>
          </w:tcPr>
          <w:p>
            <w:pPr>
              <w:spacing w:after="0"/>
            </w:pPr>
            <w:r>
              <w:rPr/>
              <w:t xml:space="preserve">……</w:t>
            </w:r>
          </w:p>
        </w:tc>
      </w:tr>
      <w:tr>
        <w:trPr>
          <w:trHeight w:val="380"/>
        </w:trPr>
        <w:tc>
          <w:tcPr>
            <w:tcW w:w="3000" w:type="dxa"/>
          </w:tcPr>
          <w:p>
            <w:pPr>
              <w:spacing w:after="0"/>
            </w:pPr>
            <w:r>
              <w:rPr/>
              <w:t xml:space="preserve">Toplantı yeri</w:t>
            </w:r>
          </w:p>
        </w:tc>
        <w:tc>
          <w:tcPr>
            <w:tcW w:w="6600" w:type="dxa"/>
          </w:tcPr>
          <w:p>
            <w:pPr>
              <w:spacing w:after="0"/>
            </w:pPr>
            <w:r>
              <w:rPr/>
              <w:t xml:space="preserve">……</w:t>
            </w:r>
          </w:p>
        </w:tc>
      </w:tr>
    </w:tbl>
    <w:p>
      <w:pPr>
        <w:spacing w:after="100"/>
      </w:pPr>
    </w:p>
    <w:p>
      <w:pPr>
        <w:spacing w:after="100"/>
      </w:pPr>
      <w:r>
        <w:rPr>
          <w:i/>
        </w:rPr>
        <w:t xml:space="preserve">Toplantıya katılanlar imza bölümünde gösterilmiştir.</w:t>
      </w:r>
    </w:p>
    <w:p>
      <w:pPr>
        <w:spacing w:after="120"/>
      </w:pPr>
      <w:r>
        <w:rPr>
          <w:b/>
        </w:rPr>
        <w:t xml:space="preserve">GÜNDEM</w:t>
      </w:r>
    </w:p>
    <w:p>
      <w:pPr>
        <w:jc w:val="both"/>
        <w:spacing w:after="100"/>
        <w:ind w:left="360" w:hanging="360"/>
      </w:pPr>
      <w:r>
        <w:rPr/>
        <w:t xml:space="preserve">1. Açılış, yoklama ve zümre başkanının seçimi</w:t>
      </w:r>
    </w:p>
    <w:p>
      <w:pPr>
        <w:jc w:val="both"/>
        <w:spacing w:after="100"/>
        <w:ind w:left="360" w:hanging="360"/>
      </w:pPr>
      <w:r>
        <w:rPr/>
        <w:t xml:space="preserve">2. Önceki yıl kararlarının değerlendirilmesi</w:t>
      </w:r>
    </w:p>
    <w:p>
      <w:pPr>
        <w:jc w:val="both"/>
        <w:spacing w:after="100"/>
        <w:ind w:left="360" w:hanging="360"/>
      </w:pPr>
      <w:r>
        <w:rPr/>
        <w:t xml:space="preserve">3. Mevzuat ve Türkiye Yüzyılı Maarif Modeli</w:t>
      </w:r>
    </w:p>
    <w:p>
      <w:pPr>
        <w:jc w:val="both"/>
        <w:spacing w:after="100"/>
        <w:ind w:left="360" w:hanging="360"/>
      </w:pPr>
      <w:r>
        <w:rPr/>
        <w:t xml:space="preserve">4. Öğretim programının ve yıllık planların incelenmesi</w:t>
      </w:r>
    </w:p>
    <w:p>
      <w:pPr>
        <w:jc w:val="both"/>
        <w:spacing w:after="100"/>
        <w:ind w:left="360" w:hanging="360"/>
      </w:pPr>
      <w:r>
        <w:rPr/>
        <w:t xml:space="preserve">5. Ders kitapları, kaynaklar ve materyaller</w:t>
      </w:r>
    </w:p>
    <w:p>
      <w:pPr>
        <w:jc w:val="both"/>
        <w:spacing w:after="100"/>
        <w:ind w:left="360" w:hanging="360"/>
      </w:pPr>
      <w:r>
        <w:rPr/>
        <w:t xml:space="preserve">6. Ölçme ve değerlendirme</w:t>
      </w:r>
    </w:p>
    <w:p>
      <w:pPr>
        <w:jc w:val="both"/>
        <w:spacing w:after="100"/>
        <w:ind w:left="360" w:hanging="360"/>
      </w:pPr>
      <w:r>
        <w:rPr/>
        <w:t xml:space="preserve">7. Proje ve performans çalışmaları</w:t>
      </w:r>
    </w:p>
    <w:p>
      <w:pPr>
        <w:jc w:val="both"/>
        <w:spacing w:after="100"/>
        <w:ind w:left="360" w:hanging="360"/>
      </w:pPr>
      <w:r>
        <w:rPr/>
        <w:t xml:space="preserve">8. Gelişim Raporu</w:t>
      </w:r>
    </w:p>
    <w:p>
      <w:pPr>
        <w:jc w:val="both"/>
        <w:spacing w:after="100"/>
        <w:ind w:left="360" w:hanging="360"/>
      </w:pPr>
      <w:r>
        <w:rPr/>
        <w:t xml:space="preserve">9. Okuryazarlık becerileri ve değerler eğitimi</w:t>
      </w:r>
    </w:p>
    <w:p>
      <w:pPr>
        <w:jc w:val="both"/>
        <w:spacing w:after="100"/>
        <w:ind w:left="360" w:hanging="360"/>
      </w:pPr>
      <w:r>
        <w:rPr/>
        <w:t xml:space="preserve">10. Özel eğitim, kaynaştırma ve üstün yetenekli öğrenciler</w:t>
      </w:r>
    </w:p>
    <w:p>
      <w:pPr>
        <w:jc w:val="both"/>
        <w:spacing w:after="100"/>
        <w:ind w:left="360" w:hanging="360"/>
      </w:pPr>
      <w:r>
        <w:rPr/>
        <w:t xml:space="preserve">11. Başarının artırılması ve destekleme-yetiştirme kursları</w:t>
      </w:r>
    </w:p>
    <w:p>
      <w:pPr>
        <w:jc w:val="both"/>
        <w:spacing w:after="100"/>
        <w:ind w:left="360" w:hanging="360"/>
      </w:pPr>
      <w:r>
        <w:rPr/>
        <w:t xml:space="preserve">12. Ödev, sosyal etkinlikler ve iş birliği</w:t>
      </w:r>
    </w:p>
    <w:p>
      <w:pPr>
        <w:jc w:val="both"/>
        <w:spacing w:after="100"/>
        <w:ind w:left="360" w:hanging="360"/>
      </w:pPr>
      <w:r>
        <w:rPr/>
        <w:t xml:space="preserve">13. Sağlık, güvenlik ve dijital araçlar</w:t>
      </w:r>
    </w:p>
    <w:p>
      <w:pPr>
        <w:jc w:val="both"/>
        <w:spacing w:after="100"/>
        <w:ind w:left="360" w:hanging="360"/>
      </w:pPr>
      <w:r>
        <w:rPr/>
        <w:t xml:space="preserve">14. Dilek ve temenniler</w:t>
      </w:r>
    </w:p>
    <w:p>
      <w:pPr>
        <w:spacing w:after="100"/>
      </w:pPr>
    </w:p>
    <w:p>
      <w:pPr>
        <w:spacing w:after="120"/>
      </w:pPr>
      <w:r>
        <w:rPr>
          <w:b/>
        </w:rPr>
        <w:t xml:space="preserve">GÜNDEM MADDELERİNİN GÖRÜŞÜLMESİ</w:t>
      </w:r>
    </w:p>
    <w:p>
      <w:pPr>
        <w:jc w:val="both"/>
        <w:spacing w:after="120"/>
      </w:pPr>
      <w:r>
        <w:rPr>
          <w:b/>
        </w:rPr>
        <w:t xml:space="preserve">1. Açılış, yoklama ve zümre başkanının seçimi: </w:t>
      </w:r>
      <w:r>
        <w:rPr/>
        <w:t xml:space="preserve">Toplantı saygı duruşu ve İstiklal Marşı ile açıldı, yoklama yapıldı. Zümre öğretmenlerinin oy birliğiyle …… zümre başkanı seçildi; toplantı yazmanlığını …… üstlendi.</w:t>
      </w:r>
    </w:p>
    <w:p>
      <w:pPr>
        <w:jc w:val="both"/>
        <w:spacing w:after="120"/>
      </w:pPr>
      <w:r>
        <w:rPr>
          <w:b/>
        </w:rPr>
        <w:t xml:space="preserve">2. Önceki yıl kararlarının değerlendirilmesi: </w:t>
      </w:r>
      <w:r>
        <w:rPr/>
        <w:t xml:space="preserve">Geçen eğitim-öğretim yılı zümre kararları ve yıl sonu raporu gözden geçirildi. Uygulanan kararların öğrenci başarısına olumlu yansıdığı, okuma ve uygulama çalışmalarına daha fazla zaman ayrılması gerektiği belirtildi. Eksik kalan konuların bu yıl ilgili ünitelerle ilişkilendirilerek tamamlanmasına karar verildi.</w:t>
      </w:r>
    </w:p>
    <w:p>
      <w:pPr>
        <w:jc w:val="both"/>
        <w:spacing w:after="120"/>
      </w:pPr>
      <w:r>
        <w:rPr>
          <w:b/>
        </w:rPr>
        <w:t xml:space="preserve">3. Mevzuat ve Türkiye Yüzyılı Maarif Modeli: </w:t>
      </w:r>
      <w:r>
        <w:rPr/>
        <w:t xml:space="preserve">Millî Eğitim Bakanlığı Okul Öncesi Eğitim ve İlköğretim Kurumları Yönetmeliği (son değişiklik: Resmî Gazete 28.07.2026), Ölçme ve Değerlendirme Yönetmeliği ve ilgili genelgeler okundu. Türkiye Yüzyılı Maarif Modeli öğretim programları 2026-2027 eğitim-öğretim yılında ortaokul 5, 6 ve 7. sınıflarda uygulanmakta, 8. sınıflarda ise mevcut öğretim programı sürdürülmektedir. Modelin beceri temelli yaklaşımı; alan becerileri, kavramsal beceriler, eğilimler, sosyal-duygusal öğrenme becerileri, değerler ve okuryazarlık becerilerinin derslere bütüncül yansıtılması gerektiği vurgulandı.</w:t>
      </w:r>
    </w:p>
    <w:p>
      <w:pPr>
        <w:jc w:val="both"/>
        <w:spacing w:after="120"/>
      </w:pPr>
      <w:r>
        <w:rPr>
          <w:b/>
        </w:rPr>
        <w:t xml:space="preserve">4. Öğretim programının ve yıllık planların incelenmesi: </w:t>
      </w:r>
      <w:r>
        <w:rPr/>
        <w:t xml:space="preserve">Dersin öğretim programı, öğrenme çıktıları ve süreç bileşenleri incelendi. Yıllık planların Bakanlıkça yayımlanan çerçeve planlar esas alınarak, okulun ders yılı takvimi, belirli gün ve haftalar ile resmî tatiller dikkate alınarak hazırlanacağı; öğrenme çıktılarının sırasının ve süresinin çerçeve plana uygun tutulacağı görüşüldü.</w:t>
      </w:r>
    </w:p>
    <w:p>
      <w:pPr>
        <w:jc w:val="both"/>
        <w:spacing w:after="120"/>
      </w:pPr>
      <w:r>
        <w:rPr>
          <w:b/>
        </w:rPr>
        <w:t xml:space="preserve">5. Ders kitapları, kaynaklar ve materyaller: </w:t>
      </w:r>
      <w:r>
        <w:rPr/>
        <w:t xml:space="preserve">Bakanlıkça dağıtılan ders kitaplarının esas alınacağı, öğrencilerden ek kaynak kitap alınmasının istenmeyeceği belirtildi. EBA ve Bakanlığın dijital içerikleri, akıllı tahta etkinlikleri ve okul imkânlarıyla hazırlanabilecek materyallerin ortak kullanılması önerildi.</w:t>
      </w:r>
    </w:p>
    <w:p>
      <w:pPr>
        <w:jc w:val="both"/>
        <w:spacing w:after="120"/>
      </w:pPr>
      <w:r>
        <w:rPr>
          <w:b/>
        </w:rPr>
        <w:t xml:space="preserve">6. Ölçme ve değerlendirme: </w:t>
      </w:r>
      <w:r>
        <w:rPr/>
        <w:t xml:space="preserve">Ölçme ve değerlendirmenin öğretim programındaki öğrenme çıktıları esas alınarak, süreç odaklı ve çok yönlü yapılacağı görüşüldü. Her dönemde iki yazılı sınav yapılacağı; haftalık ders saati altı ve üzeri olan derslerde üçüncü sınavın il zümresi kararına bağlı olduğu hatırlatıldı. Bakanlıkça belirlenen ders ve sınıf düzeylerinde ülke genelinde yapılacak ortak yazılı sınavların kılavuz ve takvimine uyulacağı belirtildi. Sınav tarihlerinin okul yönetimince ilan edilen takvime göre belirlenip öğrencilere ve velilere önceden duyurulacağı, sonuçların süresi içinde e-Okul’a işleneceği konuşuldu. Gözlem formları, kontrol listeleri, dereceli puanlama anahtarları ve öğrenci ürün dosyası gibi araçların süreç değerlendirmesinde kullanılması önerildi.</w:t>
      </w:r>
    </w:p>
    <w:p>
      <w:pPr>
        <w:jc w:val="both"/>
        <w:spacing w:after="120"/>
      </w:pPr>
      <w:r>
        <w:rPr>
          <w:b/>
        </w:rPr>
        <w:t xml:space="preserve">7. Proje ve performans çalışmaları: </w:t>
      </w:r>
      <w:r>
        <w:rPr/>
        <w:t xml:space="preserve">Yönetmelik gereği öğrencilere ders yılında istedikleri ders veya derslerden öğretmen rehberliğinde en az bir proje hazırlatılacağı; projenin hazırlandığı dönemde değerlendirileceği ve teslim etmeyen öğrencinin proje puanının sıfır sayılacağı hatırlatıldı. Proje ve performans çalışmalarının konularının öğrenme çıktılarıyla ilişkili, öğrencinin düzeyine uygun ve okul imkânlarıyla yapılabilir olmasına; değerlendirme ölçütlerinin önceden öğrencilere duyurulmasına dikkat edileceği belirtildi.</w:t>
      </w:r>
    </w:p>
    <w:p>
      <w:pPr>
        <w:jc w:val="both"/>
        <w:spacing w:after="120"/>
      </w:pPr>
      <w:r>
        <w:rPr>
          <w:b/>
        </w:rPr>
        <w:t xml:space="preserve">8. Gelişim Raporu: </w:t>
      </w:r>
      <w:r>
        <w:rPr/>
        <w:t xml:space="preserve">Beşinci sınıflardan başlayarak kademeli uygulanan ve dönem sonunda karneyle birlikte verilen Gelişim Raporu için öğrencilerin gelişim düzeyleri ile sosyal-duygusal becerilerine ilişkin gözlemlerin dönem boyunca düzenli kaydedileceği görüşüldü.</w:t>
      </w:r>
    </w:p>
    <w:p>
      <w:pPr>
        <w:jc w:val="both"/>
        <w:spacing w:after="120"/>
      </w:pPr>
      <w:r>
        <w:rPr>
          <w:b/>
        </w:rPr>
        <w:t xml:space="preserve">9. Okuryazarlık becerileri ve değerler eğitimi: </w:t>
      </w:r>
      <w:r>
        <w:rPr/>
        <w:t xml:space="preserve">Maarif Modeli’nde yer alan bilgi, dijital, finansal, görsel, kültür, sanat, vatandaşlık, veri ve sürdürülebilirlik okuryazarlığının ders içeriğiyle ilişkilendirileceği; değerler eğitiminin erdem-değer-eylem çerçevesinde, örnek davranışlar ve sınıf içi uygulamalarla verileceği belirtildi. Atatürkçülükle ilgili konulara ilgili öğrenme çıktılarında yer verileceği, belirli gün ve haftaların derse yansıtılacağı konuşuldu.</w:t>
      </w:r>
    </w:p>
    <w:p>
      <w:pPr>
        <w:jc w:val="both"/>
        <w:spacing w:after="120"/>
      </w:pPr>
      <w:r>
        <w:rPr>
          <w:b/>
        </w:rPr>
        <w:t xml:space="preserve">10. Özel eğitim, kaynaştırma ve üstün yetenekli öğrenciler: </w:t>
      </w:r>
      <w:r>
        <w:rPr/>
        <w:t xml:space="preserve">Kaynaştırma/bütünleştirme yoluyla eğitim alan öğrenciler için okul rehberlik servisi ve BEP geliştirme biriminin kararları doğrultusunda bireyselleştirilmiş eğitim planlarının hazırlanacağı, ölçme ve değerlendirmenin bu planlara göre yapılacağı; öğrenme güçlüğü yaşayan ve özel yetenekli öğrenciler için farklılaştırılmış etkinliklere yer verileceği görüşüldü.</w:t>
      </w:r>
    </w:p>
    <w:p>
      <w:pPr>
        <w:jc w:val="both"/>
        <w:spacing w:after="120"/>
      </w:pPr>
      <w:r>
        <w:rPr>
          <w:b/>
        </w:rPr>
        <w:t xml:space="preserve">11. Başarının artırılması ve destekleme-yetiştirme kursları: </w:t>
      </w:r>
      <w:r>
        <w:rPr/>
        <w:t xml:space="preserve">Öğrenme eksiklerinin erken tespiti için ünite başlarında hazırbulunuşluk çalışmaları yapılacağı; ihtiyaç duyan öğrenciler için destekleme ve yetiştirme kursları açılması yönünde okul yönetimine öneride bulunulacağı belirtildi. 8. sınıflarda Liselere Geçiş Sistemi merkezî sınavına yönelik konu tekrarı ve deneme çalışmalarının planlanacağı konuşuldu.</w:t>
      </w:r>
    </w:p>
    <w:p>
      <w:pPr>
        <w:jc w:val="both"/>
        <w:spacing w:after="120"/>
      </w:pPr>
      <w:r>
        <w:rPr>
          <w:b/>
        </w:rPr>
        <w:t xml:space="preserve">12. Ödev, sosyal etkinlikler ve iş birliği: </w:t>
      </w:r>
      <w:r>
        <w:rPr/>
        <w:t xml:space="preserve">Ödevlerin öğrencinin düzeyine uygun, araştırmaya ve üretmeye dönük olacağı, öğrencinin ve ailenin aşırı yükleneceği ödevlerden kaçınılacağı görüşüldü. Diğer zümrelerle disiplinler arası çalışmalar, kulüp etkinlikleri, belirli gün ve haftalar ile okul dışı öğrenme ortamlarının (müze, kütüphane, bilim merkezi) planlanması önerildi.</w:t>
      </w:r>
    </w:p>
    <w:p>
      <w:pPr>
        <w:jc w:val="both"/>
        <w:spacing w:after="120"/>
      </w:pPr>
      <w:r>
        <w:rPr>
          <w:b/>
        </w:rPr>
        <w:t xml:space="preserve">13. Sağlık, güvenlik ve dijital araçlar: </w:t>
      </w:r>
      <w:r>
        <w:rPr/>
        <w:t xml:space="preserve">Derslerde iş güvenliği, sınıf düzeni ve afet bilinci konularına dikkat edileceği; öğrencilerin bilişim araçlarını okul yönetimince belirlenen usul ve esaslara uygun kullanmaları konusunda bilgilendirileceği belirtildi.</w:t>
      </w:r>
    </w:p>
    <w:p>
      <w:pPr>
        <w:jc w:val="both"/>
        <w:spacing w:after="120"/>
      </w:pPr>
      <w:r>
        <w:rPr>
          <w:b/>
        </w:rPr>
        <w:t xml:space="preserve">14. Dilek ve temenniler: </w:t>
      </w:r>
      <w:r>
        <w:rPr/>
        <w:t xml:space="preserve">Zümre öğretmenleri yeni eğitim-öğretim yılının öğrencilere, velilere ve okul çalışanlarına başarı getirmesi dileğinde bulundu. Toplantı iyi dileklerle sona erdi.</w:t>
      </w:r>
    </w:p>
    <w:p>
      <w:pPr>
        <w:spacing w:after="120"/>
      </w:pPr>
      <w:r>
        <w:rPr>
          <w:b/>
        </w:rPr>
        <w:t xml:space="preserve">ALINAN KARARLAR</w:t>
      </w:r>
    </w:p>
    <w:p>
      <w:pPr>
        <w:jc w:val="both"/>
        <w:spacing w:after="100"/>
        <w:ind w:left="360" w:hanging="360"/>
      </w:pPr>
      <w:r>
        <w:rPr/>
        <w:t xml:space="preserve">1. Yıllık planlar Bakanlığın 2026-2027 çerçeve planları esas alınarak hazırlanacak ve okul yönetimine teslim edilecektir.</w:t>
      </w:r>
    </w:p>
    <w:p>
      <w:pPr>
        <w:jc w:val="both"/>
        <w:spacing w:after="100"/>
        <w:ind w:left="360" w:hanging="360"/>
      </w:pPr>
      <w:r>
        <w:rPr/>
        <w:t xml:space="preserve">2. Öğretim süreci Türkiye Yüzyılı Maarif Modeli’nin beceri temelli yaklaşımına uygun yürütülecek; derslerde okuryazarlık becerileri ve değerler eğitimine yer verilecektir.</w:t>
      </w:r>
    </w:p>
    <w:p>
      <w:pPr>
        <w:jc w:val="both"/>
        <w:spacing w:after="100"/>
        <w:ind w:left="360" w:hanging="360"/>
      </w:pPr>
      <w:r>
        <w:rPr/>
        <w:t xml:space="preserve">3. Her dönemde iki yazılı sınav yapılacak; ortak yazılı sınavlarda Bakanlığın kılavuz ve takvimine uyulacak, sınav tarihleri önceden duyurulacaktır.</w:t>
      </w:r>
    </w:p>
    <w:p>
      <w:pPr>
        <w:jc w:val="both"/>
        <w:spacing w:after="100"/>
        <w:ind w:left="360" w:hanging="360"/>
      </w:pPr>
      <w:r>
        <w:rPr/>
        <w:t xml:space="preserve">4. Ölçme ve değerlendirme öğrenme çıktıları esas alınarak yapılacak; süreç değerlendirmesinde gözlem formu, kontrol listesi ve dereceli puanlama anahtarı kullanılacaktır.</w:t>
      </w:r>
    </w:p>
    <w:p>
      <w:pPr>
        <w:jc w:val="both"/>
        <w:spacing w:after="100"/>
        <w:ind w:left="360" w:hanging="360"/>
      </w:pPr>
      <w:r>
        <w:rPr/>
        <w:t xml:space="preserve">5. Öğrencilere ders yılında en az bir proje hazırlatılacak; değerlendirme ölçütleri önceden duyurulacaktır.</w:t>
      </w:r>
    </w:p>
    <w:p>
      <w:pPr>
        <w:jc w:val="both"/>
        <w:spacing w:after="100"/>
        <w:ind w:left="360" w:hanging="360"/>
      </w:pPr>
      <w:r>
        <w:rPr/>
        <w:t xml:space="preserve">6. Gelişim Raporu için öğrenci gözlemleri dönem boyunca düzenli kaydedilecektir.</w:t>
      </w:r>
    </w:p>
    <w:p>
      <w:pPr>
        <w:jc w:val="both"/>
        <w:spacing w:after="100"/>
        <w:ind w:left="360" w:hanging="360"/>
      </w:pPr>
      <w:r>
        <w:rPr/>
        <w:t xml:space="preserve">7. BEP’i bulunan öğrenciler için planlar rehberlik servisiyle iş birliği içinde hazırlanacak ve uygulanacaktır.</w:t>
      </w:r>
    </w:p>
    <w:p>
      <w:pPr>
        <w:jc w:val="both"/>
        <w:spacing w:after="100"/>
        <w:ind w:left="360" w:hanging="360"/>
      </w:pPr>
      <w:r>
        <w:rPr/>
        <w:t xml:space="preserve">8. Öğrenme eksikleri olan öğrenciler için destekleme ve yetiştirme kursu açılması okul yönetimine önerilecektir.</w:t>
      </w:r>
    </w:p>
    <w:p>
      <w:pPr>
        <w:jc w:val="both"/>
        <w:spacing w:after="100"/>
        <w:ind w:left="360" w:hanging="360"/>
      </w:pPr>
      <w:r>
        <w:rPr/>
        <w:t xml:space="preserve">9. Zümre, dönem ortasında ve gerektiğinde yeniden toplanarak uygulamaları değerlendirecektir.</w:t>
      </w:r>
    </w:p>
    <w:p>
      <w:pPr>
        <w:spacing w:after="100"/>
      </w:pPr>
    </w:p>
    <w:p>
      <w:pPr>
        <w:spacing w:after="120"/>
      </w:pPr>
      <w:r>
        <w:rPr>
          <w:b/>
        </w:rPr>
        <w:t xml:space="preserve">ZÜMRE ÖĞRETMENLERİ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800"/>
        <w:gridCol w:w="3800"/>
        <w:gridCol w:w="2000"/>
      </w:tblGrid>
      <w:tr>
        <w:trPr>
          <w:tblHeader/>
        </w:trPr>
        <w:tc>
          <w:tcPr>
            <w:tcW w:w="3800" w:type="dxa"/>
            <w:shd w:val="clear" w:color="auto" w:fill="E7EEF5"/>
          </w:tcPr>
          <w:p>
            <w:pPr>
              <w:spacing w:after="0"/>
            </w:pPr>
            <w:r>
              <w:rPr>
                <w:b/>
              </w:rPr>
              <w:t xml:space="preserve">Adı Soyadı</w:t>
            </w:r>
          </w:p>
        </w:tc>
        <w:tc>
          <w:tcPr>
            <w:tcW w:w="3800" w:type="dxa"/>
            <w:shd w:val="clear" w:color="auto" w:fill="E7EEF5"/>
          </w:tcPr>
          <w:p>
            <w:pPr>
              <w:spacing w:after="0"/>
            </w:pPr>
            <w:r>
              <w:rPr>
                <w:b/>
              </w:rPr>
              <w:t xml:space="preserve">Branşı</w:t>
            </w:r>
          </w:p>
        </w:tc>
        <w:tc>
          <w:tcPr>
            <w:tcW w:w="2000" w:type="dxa"/>
            <w:shd w:val="clear" w:color="auto" w:fill="E7EEF5"/>
          </w:tcPr>
          <w:p>
            <w:pPr>
              <w:spacing w:after="0"/>
            </w:pPr>
            <w:r>
              <w:rPr>
                <w:b/>
              </w:rPr>
              <w:t xml:space="preserve">İmza</w:t>
            </w:r>
          </w:p>
        </w:tc>
      </w:tr>
      <w:tr>
        <w:trPr>
          <w:trHeight w:val="380"/>
        </w:trPr>
        <w:tc>
          <w:tcPr>
            <w:tcW w:w="3800" w:type="dxa"/>
          </w:tcPr>
          <w:p>
            <w:pPr>
              <w:spacing w:after="0"/>
            </w:pPr>
            <w:r>
              <w:rPr/>
              <w:t xml:space="preserve">{#zumre}{ad}</w:t>
            </w:r>
          </w:p>
        </w:tc>
        <w:tc>
          <w:tcPr>
            <w:tcW w:w="3800" w:type="dxa"/>
          </w:tcPr>
          <w:p>
            <w:pPr>
              <w:spacing w:after="0"/>
            </w:pPr>
            <w:r>
              <w:rPr/>
              <w:t xml:space="preserve">{brans} Öğretmeni</w:t>
            </w:r>
          </w:p>
        </w:tc>
        <w:tc>
          <w:tcPr>
            <w:tcW w:w="2000" w:type="dxa"/>
          </w:tcPr>
          <w:p>
            <w:pPr>
              <w:spacing w:after="0"/>
            </w:pPr>
            <w:r>
              <w:rPr/>
              <w:t xml:space="preserve">{/zumre}</w:t>
            </w:r>
          </w:p>
        </w:tc>
      </w:tr>
    </w:tbl>
    <w:p>
      <w:pPr>
        <w:spacing w:after="1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4800"/>
        <w:gridCol w:w="4800"/>
      </w:tblGrid>
      <w:tr>
        <w:trPr>
          <w:tblHeader/>
        </w:trPr>
        <w:tc>
          <w:tcPr>
            <w:tcW w:w="4800" w:type="dxa"/>
            <w:shd w:val="clear" w:color="auto" w:fill="E7EEF5"/>
          </w:tcPr>
          <w:p>
            <w:pPr>
              <w:spacing w:after="0"/>
            </w:pPr>
            <w:r>
              <w:rPr>
                <w:b/>
              </w:rPr>
              <w:t xml:space="preserve">Zümre Başkanı</w:t>
            </w:r>
          </w:p>
        </w:tc>
        <w:tc>
          <w:tcPr>
            <w:tcW w:w="4800" w:type="dxa"/>
            <w:shd w:val="clear" w:color="auto" w:fill="E7EEF5"/>
          </w:tcPr>
          <w:p>
            <w:pPr>
              <w:spacing w:after="0"/>
            </w:pPr>
            <w:r>
              <w:rPr>
                <w:b/>
              </w:rPr>
              <w:t xml:space="preserve">UYGUNDUR</w:t>
            </w:r>
          </w:p>
        </w:tc>
      </w:tr>
      <w:tr>
        <w:trPr>
          <w:trHeight w:val="380"/>
        </w:trPr>
        <w:tc>
          <w:tcPr>
            <w:tcW w:w="4800" w:type="dxa"/>
          </w:tcPr>
          <w:p>
            <w:pPr>
              <w:spacing w:after="0"/>
            </w:pPr>
            <w:r>
              <w:rPr/>
              <w:t xml:space="preserve">{zumre_baskani}</w:t>
            </w:r>
          </w:p>
          <w:p>
            <w:pPr>
              <w:spacing w:after="0"/>
            </w:pPr>
            <w:r>
              <w:rPr/>
              <w:t xml:space="preserve">{brans} Öğretmeni</w:t>
            </w:r>
          </w:p>
        </w:tc>
        <w:tc>
          <w:tcPr>
            <w:tcW w:w="4800" w:type="dxa"/>
          </w:tcPr>
          <w:p>
            <w:pPr>
              <w:spacing w:after="0"/>
            </w:pPr>
            <w:r>
              <w:rPr/>
              <w:t xml:space="preserve">{tarih}</w:t>
            </w:r>
          </w:p>
          <w:p>
            <w:pPr>
              <w:spacing w:after="0"/>
            </w:pPr>
            <w:r>
              <w:rPr/>
              <w:t xml:space="preserve">{mudur}</w:t>
            </w:r>
          </w:p>
          <w:p>
            <w:pPr>
              <w:spacing w:after="0"/>
            </w:pPr>
            <w:r>
              <w:rPr/>
              <w:t xml:space="preserve">Okul Müdürü</w:t>
            </w:r>
          </w:p>
        </w:tc>
      </w:tr>
    </w:tbl>
    <w:sectPr>
      <w:pgSz w:w="11906" w:h="16838"/>
      <w:pgMar w:top="1000" w:right="1000" w:bottom="1000" w:left="1000" w:header="567" w:footer="567" w:gutter="0"/>
    </w:sectPr>
  </w:body>
</w:document>
</file>

<file path=word/styles.xml><?xml version="1.0" encoding="utf-8"?>
<w:styles xmlns:w="http://schemas.openxmlformats.org/wordprocessingml/2006/main">
  <w:docDefaults>
    <w:rPrDefault>
      <w:rPr>
        <w:rFonts w:ascii="Times New Roman" w:hAnsi="Times New Roman" w:cs="Times New Roman"/>
        <w:sz w:val="22"/>
        <w:lang w:val="tr-TR"/>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