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0"/>
      </w:pPr>
      <w:r>
        <w:rPr>
          <w:b/>
        </w:rPr>
        <w:t xml:space="preserve">T.C.</w:t>
      </w:r>
    </w:p>
    <w:p>
      <w:pPr>
        <w:jc w:val="center"/>
        <w:spacing w:after="0"/>
      </w:pPr>
      <w:r>
        <w:rPr>
          <w:b/>
        </w:rPr>
        <w:t xml:space="preserve">{ilce|buyuk} KAYMAKAMLIĞI</w:t>
      </w:r>
    </w:p>
    <w:p>
      <w:pPr>
        <w:jc w:val="center"/>
        <w:spacing w:after="240"/>
      </w:pPr>
      <w:r>
        <w:rPr>
          <w:b/>
        </w:rPr>
        <w:t xml:space="preserve">{okul|buyuk} MÜDÜRLÜĞÜ</w:t>
      </w:r>
    </w:p>
    <w:p>
      <w:pPr>
        <w:jc w:val="center"/>
        <w:spacing w:after="240"/>
      </w:pPr>
      <w:r>
        <w:rPr>
          <w:b/>
          <w:sz w:val="24"/>
        </w:rPr>
        <w:t xml:space="preserve">{egitim_yili|buyuk} EĞİTİM-ÖĞRETİM YILI {brans|buyuk} ZÜMRE ÖĞRETMENLER KURULU İKİNCİ DÖNEM BAŞI TOPLANTI TUTANAĞI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000"/>
        <w:gridCol w:w="6600"/>
      </w:tblGrid>
      <w:tr>
        <w:trPr>
          <w:trHeight w:val="380"/>
        </w:trPr>
        <w:tc>
          <w:tcPr>
            <w:tcW w:w="3000" w:type="dxa"/>
          </w:tcPr>
          <w:p>
            <w:pPr>
              <w:spacing w:after="0"/>
            </w:pPr>
            <w:r>
              <w:rPr/>
              <w:t xml:space="preserve">Toplantı tarihi</w:t>
            </w:r>
          </w:p>
        </w:tc>
        <w:tc>
          <w:tcPr>
            <w:tcW w:w="6600" w:type="dxa"/>
          </w:tcPr>
          <w:p>
            <w:pPr>
              <w:spacing w:after="0"/>
            </w:pPr>
            <w:r>
              <w:rPr/>
              <w:t xml:space="preserve">{tarih}</w:t>
            </w:r>
          </w:p>
        </w:tc>
      </w:tr>
      <w:tr>
        <w:trPr>
          <w:trHeight w:val="380"/>
        </w:trPr>
        <w:tc>
          <w:tcPr>
            <w:tcW w:w="3000" w:type="dxa"/>
          </w:tcPr>
          <w:p>
            <w:pPr>
              <w:spacing w:after="0"/>
            </w:pPr>
            <w:r>
              <w:rPr/>
              <w:t xml:space="preserve">Toplantı saati</w:t>
            </w:r>
          </w:p>
        </w:tc>
        <w:tc>
          <w:tcPr>
            <w:tcW w:w="6600" w:type="dxa"/>
          </w:tcPr>
          <w:p>
            <w:pPr>
              <w:spacing w:after="0"/>
            </w:pPr>
            <w:r>
              <w:rPr/>
              <w:t xml:space="preserve">……</w:t>
            </w:r>
          </w:p>
        </w:tc>
      </w:tr>
      <w:tr>
        <w:trPr>
          <w:trHeight w:val="380"/>
        </w:trPr>
        <w:tc>
          <w:tcPr>
            <w:tcW w:w="3000" w:type="dxa"/>
          </w:tcPr>
          <w:p>
            <w:pPr>
              <w:spacing w:after="0"/>
            </w:pPr>
            <w:r>
              <w:rPr/>
              <w:t xml:space="preserve">Toplantı yeri</w:t>
            </w:r>
          </w:p>
        </w:tc>
        <w:tc>
          <w:tcPr>
            <w:tcW w:w="6600" w:type="dxa"/>
          </w:tcPr>
          <w:p>
            <w:pPr>
              <w:spacing w:after="0"/>
            </w:pPr>
            <w:r>
              <w:rPr/>
              <w:t xml:space="preserve">……</w:t>
            </w:r>
          </w:p>
        </w:tc>
      </w:tr>
    </w:tbl>
    <w:p>
      <w:pPr>
        <w:spacing w:after="100"/>
      </w:pPr>
    </w:p>
    <w:p>
      <w:pPr>
        <w:spacing w:after="100"/>
      </w:pPr>
      <w:r>
        <w:rPr>
          <w:i/>
        </w:rPr>
        <w:t xml:space="preserve">Toplantıya katılanlar imza bölümünde gösterilmiştir.</w:t>
      </w:r>
    </w:p>
    <w:p>
      <w:pPr>
        <w:spacing w:after="120"/>
      </w:pPr>
      <w:r>
        <w:rPr>
          <w:b/>
        </w:rPr>
        <w:t xml:space="preserve">GÜNDEM</w:t>
      </w:r>
    </w:p>
    <w:p>
      <w:pPr>
        <w:jc w:val="both"/>
        <w:spacing w:after="100"/>
        <w:ind w:left="360" w:hanging="360"/>
      </w:pPr>
      <w:r>
        <w:rPr/>
        <w:t xml:space="preserve">1. Açılış ve yoklama</w:t>
      </w:r>
    </w:p>
    <w:p>
      <w:pPr>
        <w:jc w:val="both"/>
        <w:spacing w:after="100"/>
        <w:ind w:left="360" w:hanging="360"/>
      </w:pPr>
      <w:r>
        <w:rPr/>
        <w:t xml:space="preserve">2. Yıl başı zümre kararlarının değerlendirilmesi</w:t>
      </w:r>
    </w:p>
    <w:p>
      <w:pPr>
        <w:jc w:val="both"/>
        <w:spacing w:after="100"/>
        <w:ind w:left="360" w:hanging="360"/>
      </w:pPr>
      <w:r>
        <w:rPr/>
        <w:t xml:space="preserve">3. Birinci dönem başarı durumu</w:t>
      </w:r>
    </w:p>
    <w:p>
      <w:pPr>
        <w:jc w:val="both"/>
        <w:spacing w:after="100"/>
        <w:ind w:left="360" w:hanging="360"/>
      </w:pPr>
      <w:r>
        <w:rPr/>
        <w:t xml:space="preserve">4. Ortak yazılı sınavların değerlendirilmesi</w:t>
      </w:r>
    </w:p>
    <w:p>
      <w:pPr>
        <w:jc w:val="both"/>
        <w:spacing w:after="100"/>
        <w:ind w:left="360" w:hanging="360"/>
      </w:pPr>
      <w:r>
        <w:rPr/>
        <w:t xml:space="preserve">5. İkinci dönem ölçme ve değerlendirme</w:t>
      </w:r>
    </w:p>
    <w:p>
      <w:pPr>
        <w:jc w:val="both"/>
        <w:spacing w:after="100"/>
        <w:ind w:left="360" w:hanging="360"/>
      </w:pPr>
      <w:r>
        <w:rPr/>
        <w:t xml:space="preserve">6. Öğretim programı uygulamaları</w:t>
      </w:r>
    </w:p>
    <w:p>
      <w:pPr>
        <w:jc w:val="both"/>
        <w:spacing w:after="100"/>
        <w:ind w:left="360" w:hanging="360"/>
      </w:pPr>
      <w:r>
        <w:rPr/>
        <w:t xml:space="preserve">7. Özel eğitim ve destekleme çalışmaları</w:t>
      </w:r>
    </w:p>
    <w:p>
      <w:pPr>
        <w:jc w:val="both"/>
        <w:spacing w:after="100"/>
        <w:ind w:left="360" w:hanging="360"/>
      </w:pPr>
      <w:r>
        <w:rPr/>
        <w:t xml:space="preserve">8. LGS hazırlık çalışmaları</w:t>
      </w:r>
    </w:p>
    <w:p>
      <w:pPr>
        <w:jc w:val="both"/>
        <w:spacing w:after="100"/>
        <w:ind w:left="360" w:hanging="360"/>
      </w:pPr>
      <w:r>
        <w:rPr/>
        <w:t xml:space="preserve">9. Dilek ve temenniler</w:t>
      </w:r>
    </w:p>
    <w:p>
      <w:pPr>
        <w:spacing w:after="100"/>
      </w:pPr>
    </w:p>
    <w:p>
      <w:pPr>
        <w:spacing w:after="120"/>
      </w:pPr>
      <w:r>
        <w:rPr>
          <w:b/>
        </w:rPr>
        <w:t xml:space="preserve">GÜNDEM MADDELERİNİN GÖRÜŞÜLMESİ</w:t>
      </w:r>
    </w:p>
    <w:p>
      <w:pPr>
        <w:jc w:val="both"/>
        <w:spacing w:after="120"/>
      </w:pPr>
      <w:r>
        <w:rPr>
          <w:b/>
        </w:rPr>
        <w:t xml:space="preserve">1. Açılış ve yoklama: </w:t>
      </w:r>
      <w:r>
        <w:rPr/>
        <w:t xml:space="preserve">Toplantı saygı duruşu ve İstiklal Marşı ile açıldı, yoklama yapıldı.</w:t>
      </w:r>
    </w:p>
    <w:p>
      <w:pPr>
        <w:jc w:val="both"/>
        <w:spacing w:after="120"/>
      </w:pPr>
      <w:r>
        <w:rPr>
          <w:b/>
        </w:rPr>
        <w:t xml:space="preserve">2. Yıl başı zümre kararlarının değerlendirilmesi: </w:t>
      </w:r>
      <w:r>
        <w:rPr/>
        <w:t xml:space="preserve">Yıl başında alınan kararların birinci dönemde büyük ölçüde uygulandığı görüldü. Yıllık planlara uygun ilerlendiği, aksayan konuların ikinci dönemin ilk haftalarında telafi edileceği belirtildi.</w:t>
      </w:r>
    </w:p>
    <w:p>
      <w:pPr>
        <w:jc w:val="both"/>
        <w:spacing w:after="120"/>
      </w:pPr>
      <w:r>
        <w:rPr>
          <w:b/>
        </w:rPr>
        <w:t xml:space="preserve">3. Birinci dönem başarı durumu: </w:t>
      </w:r>
      <w:r>
        <w:rPr/>
        <w:t xml:space="preserve">Birinci dönem sınav sonuçları, proje ve performans çalışmaları ile Gelişim Raporu gözlemleri değerlendirildi. Başarının düşük kaldığı öğrenme çıktıları ve sınıflar belirlendi; bu konularda ek etkinlik, tekrar ve bireysel destek çalışmaları yapılması önerildi.</w:t>
      </w:r>
    </w:p>
    <w:p>
      <w:pPr>
        <w:jc w:val="both"/>
        <w:spacing w:after="120"/>
      </w:pPr>
      <w:r>
        <w:rPr>
          <w:b/>
        </w:rPr>
        <w:t xml:space="preserve">4. Ortak yazılı sınavların değerlendirilmesi: </w:t>
      </w:r>
      <w:r>
        <w:rPr/>
        <w:t xml:space="preserve">Birinci dönem ortak yazılı sınav sonuçları ve madde analizleri incelendi. Öğrencilerin zorlandığı soru türleri ve öğrenme çıktıları üzerinde durulmasına, ikinci dönem ortak sınav takvimine ve kılavuzuna uyulmasına karar verildi.</w:t>
      </w:r>
    </w:p>
    <w:p>
      <w:pPr>
        <w:jc w:val="both"/>
        <w:spacing w:after="120"/>
      </w:pPr>
      <w:r>
        <w:rPr>
          <w:b/>
        </w:rPr>
        <w:t xml:space="preserve">5. İkinci dönem ölçme ve değerlendirme: </w:t>
      </w:r>
      <w:r>
        <w:rPr/>
        <w:t xml:space="preserve">İkinci dönemde de iki yazılı sınav yapılacağı, sınav tarihlerinin okul takvimine göre önceden duyurulacağı görüşüldü. Proje görevi almış öğrencilerin çalışmalarının izlenmesi, teslim tarihlerinin hatırlatılması ve projelerin hazırlandığı dönemde değerlendirilmesi gerektiği belirtildi.</w:t>
      </w:r>
    </w:p>
    <w:p>
      <w:pPr>
        <w:jc w:val="both"/>
        <w:spacing w:after="120"/>
      </w:pPr>
      <w:r>
        <w:rPr>
          <w:b/>
        </w:rPr>
        <w:t xml:space="preserve">6. Öğretim programı uygulamaları: </w:t>
      </w:r>
      <w:r>
        <w:rPr/>
        <w:t xml:space="preserve">Türkiye Yüzyılı Maarif Modeli öğretim programlarının uygulanmasında karşılaşılan güçlükler ve iyi örnekler paylaşıldı. Beceri temelli etkinliklerin, okuryazarlık ve değerler eğitimine yönelik çalışmaların artırılması önerildi.</w:t>
      </w:r>
    </w:p>
    <w:p>
      <w:pPr>
        <w:jc w:val="both"/>
        <w:spacing w:after="120"/>
      </w:pPr>
      <w:r>
        <w:rPr>
          <w:b/>
        </w:rPr>
        <w:t xml:space="preserve">7. Özel eğitim ve destekleme çalışmaları: </w:t>
      </w:r>
      <w:r>
        <w:rPr/>
        <w:t xml:space="preserve">BEP’i bulunan öğrencilerin gelişimi gözden geçirildi; planların güncellenmesi için rehberlik servisiyle görüşüleceği belirtildi. Destekleme ve yetiştirme kurslarının verimi değerlendirildi.</w:t>
      </w:r>
    </w:p>
    <w:p>
      <w:pPr>
        <w:jc w:val="both"/>
        <w:spacing w:after="120"/>
      </w:pPr>
      <w:r>
        <w:rPr>
          <w:b/>
        </w:rPr>
        <w:t xml:space="preserve">8. LGS hazırlık çalışmaları: </w:t>
      </w:r>
      <w:r>
        <w:rPr/>
        <w:t xml:space="preserve">8. sınıflarda konu tekrarı, soru çözümü ve deneme sınavı çalışmalarının ikinci dönemde planlı biçimde sürdürülmesi görüşüldü.</w:t>
      </w:r>
    </w:p>
    <w:p>
      <w:pPr>
        <w:jc w:val="both"/>
        <w:spacing w:after="120"/>
      </w:pPr>
      <w:r>
        <w:rPr>
          <w:b/>
        </w:rPr>
        <w:t xml:space="preserve">9. Dilek ve temenniler: </w:t>
      </w:r>
      <w:r>
        <w:rPr/>
        <w:t xml:space="preserve">İkinci dönemin başarılı geçmesi dileğiyle toplantı sona erdi.</w:t>
      </w:r>
    </w:p>
    <w:p>
      <w:pPr>
        <w:spacing w:after="120"/>
      </w:pPr>
      <w:r>
        <w:rPr>
          <w:b/>
        </w:rPr>
        <w:t xml:space="preserve">ALINAN KARARLAR</w:t>
      </w:r>
    </w:p>
    <w:p>
      <w:pPr>
        <w:jc w:val="both"/>
        <w:spacing w:after="100"/>
        <w:ind w:left="360" w:hanging="360"/>
      </w:pPr>
      <w:r>
        <w:rPr/>
        <w:t xml:space="preserve">1. Birinci dönemde başarının düşük kaldığı öğrenme çıktıları için ek tekrar ve etkinlik yapılacaktır.</w:t>
      </w:r>
    </w:p>
    <w:p>
      <w:pPr>
        <w:jc w:val="both"/>
        <w:spacing w:after="100"/>
        <w:ind w:left="360" w:hanging="360"/>
      </w:pPr>
      <w:r>
        <w:rPr/>
        <w:t xml:space="preserve">2. İkinci dönemde iki yazılı sınav yapılacak; ortak yazılı sınavlarda Bakanlığın kılavuz ve takvimine uyulacaktır.</w:t>
      </w:r>
    </w:p>
    <w:p>
      <w:pPr>
        <w:jc w:val="both"/>
        <w:spacing w:after="100"/>
        <w:ind w:left="360" w:hanging="360"/>
      </w:pPr>
      <w:r>
        <w:rPr/>
        <w:t xml:space="preserve">3. Proje çalışmaları izlenecek ve hazırlandığı dönemde değerlendirilecektir.</w:t>
      </w:r>
    </w:p>
    <w:p>
      <w:pPr>
        <w:jc w:val="both"/>
        <w:spacing w:after="100"/>
        <w:ind w:left="360" w:hanging="360"/>
      </w:pPr>
      <w:r>
        <w:rPr/>
        <w:t xml:space="preserve">4. Beceri temelli etkinlikler ile okuryazarlık ve değerler eğitimine yönelik çalışmalar artırılacaktır.</w:t>
      </w:r>
    </w:p>
    <w:p>
      <w:pPr>
        <w:jc w:val="both"/>
        <w:spacing w:after="100"/>
        <w:ind w:left="360" w:hanging="360"/>
      </w:pPr>
      <w:r>
        <w:rPr/>
        <w:t xml:space="preserve">5. BEP’i bulunan öğrencilerin planları rehberlik servisiyle birlikte güncellenecektir.</w:t>
      </w:r>
    </w:p>
    <w:p>
      <w:pPr>
        <w:jc w:val="both"/>
        <w:spacing w:after="100"/>
        <w:ind w:left="360" w:hanging="360"/>
      </w:pPr>
      <w:r>
        <w:rPr/>
        <w:t xml:space="preserve">6. 8. sınıflarda LGS’ye yönelik tekrar ve deneme çalışmaları sürdürülecektir.</w:t>
      </w:r>
    </w:p>
    <w:p>
      <w:pPr>
        <w:spacing w:after="100"/>
      </w:pPr>
    </w:p>
    <w:p>
      <w:pPr>
        <w:spacing w:after="120"/>
      </w:pPr>
      <w:r>
        <w:rPr>
          <w:b/>
        </w:rPr>
        <w:t xml:space="preserve">ZÜMRE ÖĞRETMENLERİ</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3800"/>
        <w:gridCol w:w="3800"/>
        <w:gridCol w:w="2000"/>
      </w:tblGrid>
      <w:tr>
        <w:trPr>
          <w:tblHeader/>
        </w:trPr>
        <w:tc>
          <w:tcPr>
            <w:tcW w:w="3800" w:type="dxa"/>
            <w:shd w:val="clear" w:color="auto" w:fill="E7EEF5"/>
          </w:tcPr>
          <w:p>
            <w:pPr>
              <w:spacing w:after="0"/>
            </w:pPr>
            <w:r>
              <w:rPr>
                <w:b/>
              </w:rPr>
              <w:t xml:space="preserve">Adı Soyadı</w:t>
            </w:r>
          </w:p>
        </w:tc>
        <w:tc>
          <w:tcPr>
            <w:tcW w:w="3800" w:type="dxa"/>
            <w:shd w:val="clear" w:color="auto" w:fill="E7EEF5"/>
          </w:tcPr>
          <w:p>
            <w:pPr>
              <w:spacing w:after="0"/>
            </w:pPr>
            <w:r>
              <w:rPr>
                <w:b/>
              </w:rPr>
              <w:t xml:space="preserve">Branşı</w:t>
            </w:r>
          </w:p>
        </w:tc>
        <w:tc>
          <w:tcPr>
            <w:tcW w:w="2000" w:type="dxa"/>
            <w:shd w:val="clear" w:color="auto" w:fill="E7EEF5"/>
          </w:tcPr>
          <w:p>
            <w:pPr>
              <w:spacing w:after="0"/>
            </w:pPr>
            <w:r>
              <w:rPr>
                <w:b/>
              </w:rPr>
              <w:t xml:space="preserve">İmza</w:t>
            </w:r>
          </w:p>
        </w:tc>
      </w:tr>
      <w:tr>
        <w:trPr>
          <w:trHeight w:val="380"/>
        </w:trPr>
        <w:tc>
          <w:tcPr>
            <w:tcW w:w="3800" w:type="dxa"/>
          </w:tcPr>
          <w:p>
            <w:pPr>
              <w:spacing w:after="0"/>
            </w:pPr>
            <w:r>
              <w:rPr/>
              <w:t xml:space="preserve">{#zumre}{ad}</w:t>
            </w:r>
          </w:p>
        </w:tc>
        <w:tc>
          <w:tcPr>
            <w:tcW w:w="3800" w:type="dxa"/>
          </w:tcPr>
          <w:p>
            <w:pPr>
              <w:spacing w:after="0"/>
            </w:pPr>
            <w:r>
              <w:rPr/>
              <w:t xml:space="preserve">{brans} Öğretmeni</w:t>
            </w:r>
          </w:p>
        </w:tc>
        <w:tc>
          <w:tcPr>
            <w:tcW w:w="2000" w:type="dxa"/>
          </w:tcPr>
          <w:p>
            <w:pPr>
              <w:spacing w:after="0"/>
            </w:pPr>
            <w:r>
              <w:rPr/>
              <w:t xml:space="preserve">{/zumre}</w:t>
            </w:r>
          </w:p>
        </w:tc>
      </w:tr>
    </w:tbl>
    <w:p>
      <w:pPr>
        <w:spacing w:after="100"/>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Pr>
      <w:tblGrid>
        <w:gridCol w:w="4800"/>
        <w:gridCol w:w="4800"/>
      </w:tblGrid>
      <w:tr>
        <w:trPr>
          <w:tblHeader/>
        </w:trPr>
        <w:tc>
          <w:tcPr>
            <w:tcW w:w="4800" w:type="dxa"/>
            <w:shd w:val="clear" w:color="auto" w:fill="E7EEF5"/>
          </w:tcPr>
          <w:p>
            <w:pPr>
              <w:spacing w:after="0"/>
            </w:pPr>
            <w:r>
              <w:rPr>
                <w:b/>
              </w:rPr>
              <w:t xml:space="preserve">Zümre Başkanı</w:t>
            </w:r>
          </w:p>
        </w:tc>
        <w:tc>
          <w:tcPr>
            <w:tcW w:w="4800" w:type="dxa"/>
            <w:shd w:val="clear" w:color="auto" w:fill="E7EEF5"/>
          </w:tcPr>
          <w:p>
            <w:pPr>
              <w:spacing w:after="0"/>
            </w:pPr>
            <w:r>
              <w:rPr>
                <w:b/>
              </w:rPr>
              <w:t xml:space="preserve">UYGUNDUR</w:t>
            </w:r>
          </w:p>
        </w:tc>
      </w:tr>
      <w:tr>
        <w:trPr>
          <w:trHeight w:val="380"/>
        </w:trPr>
        <w:tc>
          <w:tcPr>
            <w:tcW w:w="4800" w:type="dxa"/>
          </w:tcPr>
          <w:p>
            <w:pPr>
              <w:spacing w:after="0"/>
            </w:pPr>
            <w:r>
              <w:rPr/>
              <w:t xml:space="preserve">{zumre_baskani}</w:t>
            </w:r>
          </w:p>
          <w:p>
            <w:pPr>
              <w:spacing w:after="0"/>
            </w:pPr>
            <w:r>
              <w:rPr/>
              <w:t xml:space="preserve">{brans} Öğretmeni</w:t>
            </w:r>
          </w:p>
        </w:tc>
        <w:tc>
          <w:tcPr>
            <w:tcW w:w="4800" w:type="dxa"/>
          </w:tcPr>
          <w:p>
            <w:pPr>
              <w:spacing w:after="0"/>
            </w:pPr>
            <w:r>
              <w:rPr/>
              <w:t xml:space="preserve">{tarih}</w:t>
            </w:r>
          </w:p>
          <w:p>
            <w:pPr>
              <w:spacing w:after="0"/>
            </w:pPr>
            <w:r>
              <w:rPr/>
              <w:t xml:space="preserve">{mudur}</w:t>
            </w:r>
          </w:p>
          <w:p>
            <w:pPr>
              <w:spacing w:after="0"/>
            </w:pPr>
            <w:r>
              <w:rPr/>
              <w:t xml:space="preserve">Okul Müdürü</w:t>
            </w:r>
          </w:p>
        </w:tc>
      </w:tr>
    </w:tbl>
    <w:sectPr>
      <w:pgSz w:w="11906" w:h="16838"/>
      <w:pgMar w:top="1000" w:right="1000" w:bottom="1000" w:left="1000" w:header="567" w:footer="567" w:gutter="0"/>
    </w:sectPr>
  </w:body>
</w:document>
</file>

<file path=word/styles.xml><?xml version="1.0" encoding="utf-8"?>
<w:styles xmlns:w="http://schemas.openxmlformats.org/wordprocessingml/2006/main">
  <w:docDefaults>
    <w:rPrDefault>
      <w:rPr>
        <w:rFonts w:ascii="Times New Roman" w:hAnsi="Times New Roman" w:cs="Times New Roman"/>
        <w:sz w:val="22"/>
        <w:lang w:val="tr-TR"/>
      </w:rPr>
    </w:rPrDefault>
  </w:docDefaults>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