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This document will need to be downloaded and saved to github regularly.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often?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Who will be responsible?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color w:val="3d85c6"/>
          <w:rtl w:val="0"/>
        </w:rPr>
        <w:t xml:space="preserve">Introduction</w:t>
      </w:r>
    </w:p>
    <w:p w:rsidR="00000000" w:rsidDel="00000000" w:rsidP="00000000" w:rsidRDefault="00000000" w:rsidRPr="00000000">
      <w:pPr>
        <w:contextualSpacing w:val="0"/>
      </w:pPr>
      <w:r w:rsidDel="00000000" w:rsidR="00000000" w:rsidRPr="00000000">
        <w:rPr>
          <w:rtl w:val="0"/>
        </w:rPr>
        <w:t xml:space="preserve">As part of a government initiative to support growth of the game industry in [</w:t>
      </w:r>
      <w:r w:rsidDel="00000000" w:rsidR="00000000" w:rsidRPr="00000000">
        <w:rPr>
          <w:color w:val="9900ff"/>
          <w:rtl w:val="0"/>
        </w:rPr>
        <w:t xml:space="preserve">this region</w:t>
      </w:r>
      <w:r w:rsidDel="00000000" w:rsidR="00000000" w:rsidRPr="00000000">
        <w:rPr>
          <w:rtl w:val="0"/>
        </w:rPr>
        <w:t xml:space="preserve">] , an award of local and national government funding has been granted as a startup fund for the development of [the subject game]. Prompted by the need to develop a quality product with limited funds and in view of the public interest;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development team to put the recommended approach into practice.</w:t>
      </w:r>
    </w:p>
    <w:p w:rsidR="00000000" w:rsidDel="00000000" w:rsidP="00000000" w:rsidRDefault="00000000" w:rsidRPr="00000000">
      <w:pPr>
        <w:pStyle w:val="Heading2"/>
        <w:contextualSpacing w:val="0"/>
      </w:pPr>
      <w:bookmarkStart w:colFirst="0" w:colLast="0" w:name="h.stjei05rkuvn" w:id="1"/>
      <w:bookmarkEnd w:id="1"/>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w:t>
      </w:r>
      <w:r w:rsidDel="00000000" w:rsidR="00000000" w:rsidRPr="00000000">
        <w:rPr>
          <w:color w:val="9900ff"/>
          <w:rtl w:val="0"/>
        </w:rPr>
        <w:t xml:space="preserve">this study</w:t>
      </w:r>
      <w:r w:rsidDel="00000000" w:rsidR="00000000" w:rsidRPr="00000000">
        <w:rPr>
          <w:rtl w:val="0"/>
        </w:rPr>
        <w:t xml:space="preserve">], an agile approach is favoured for the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development is not rigorously regulated</w:t>
      </w:r>
      <w:r w:rsidDel="00000000" w:rsidR="00000000" w:rsidRPr="00000000">
        <w:rPr>
          <w:color w:val="9900ff"/>
          <w:vertAlign w:val="superscript"/>
          <w:rtl w:val="0"/>
        </w:rPr>
        <w:t xml:space="preserve">citation needed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development environment is expected to be highly dynamic as it grows from four to (up to) fifty people,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t xml:space="preserve">However, the projected size of the development team is not considered optimal for a fully agile approach. Boehm and Turner (2009) describe several scenarios where teams of 50 - 150 were successful, although not easily managed. </w:t>
      </w:r>
      <w:r w:rsidDel="00000000" w:rsidR="00000000" w:rsidRPr="00000000">
        <w:rPr>
          <w:rtl w:val="0"/>
        </w:rPr>
        <w:t xml:space="preserve">It is for this reason the study does not completely rule out aspects of plan-driven development which may be beneficial in this case.</w:t>
      </w:r>
      <w:r w:rsidDel="00000000" w:rsidR="00000000" w:rsidRPr="00000000">
        <w:rPr>
          <w:rtl w:val="0"/>
        </w:rPr>
      </w:r>
    </w:p>
    <w:p w:rsidR="00000000" w:rsidDel="00000000" w:rsidP="00000000" w:rsidRDefault="00000000" w:rsidRPr="00000000">
      <w:pPr>
        <w:pStyle w:val="Heading2"/>
        <w:contextualSpacing w:val="0"/>
      </w:pPr>
      <w:bookmarkStart w:colFirst="0" w:colLast="0" w:name="h.qyn0413iestb" w:id="2"/>
      <w:bookmarkEnd w:id="2"/>
      <w:r w:rsidDel="00000000" w:rsidR="00000000" w:rsidRPr="00000000">
        <w:rPr>
          <w:rtl w:val="0"/>
        </w:rPr>
        <w:t xml:space="preserve">Product Context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9900ff"/>
          <w:rtl w:val="0"/>
        </w:rPr>
        <w:t xml:space="preserve">Sez developing project/product context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3"/>
      <w:bookmarkEnd w:id="3"/>
      <w:r w:rsidDel="00000000" w:rsidR="00000000" w:rsidRPr="00000000">
        <w:rPr>
          <w:color w:val="3d85c6"/>
          <w:rtl w:val="0"/>
        </w:rPr>
        <w:t xml:space="preserve">Agile Development Approaches</w:t>
      </w:r>
    </w:p>
    <w:p w:rsidR="00000000" w:rsidDel="00000000" w:rsidP="00000000" w:rsidRDefault="00000000" w:rsidRPr="00000000">
      <w:pPr>
        <w:contextualSpacing w:val="0"/>
      </w:pPr>
      <w:r w:rsidDel="00000000" w:rsidR="00000000" w:rsidRPr="00000000">
        <w:rPr>
          <w:rtl w:val="0"/>
        </w:rPr>
        <w:t xml:space="preserve">This section outlines a collection of suitable development approaches, each drawing on the Agile philosophies of [</w:t>
      </w:r>
      <w:r w:rsidDel="00000000" w:rsidR="00000000" w:rsidRPr="00000000">
        <w:rPr>
          <w:color w:val="9900ff"/>
          <w:rtl w:val="0"/>
        </w:rPr>
        <w:t xml:space="preserve">insert philosophies with references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13a74a2wn5ou" w:id="4"/>
      <w:bookmarkEnd w:id="4"/>
      <w:r w:rsidDel="00000000" w:rsidR="00000000" w:rsidRPr="00000000">
        <w:rPr>
          <w:rtl w:val="0"/>
        </w:rPr>
        <w:t xml:space="preserve">Crystal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9900ff"/>
          <w:rtl w:val="0"/>
        </w:rPr>
        <w:t xml:space="preserve">Sez researching Crystal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Crystal Clear method covers smaller projects; Crystal Orange was the first to be developed and addresses larger projects.” (Meyer, 2014, p141)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Crystal Orange is for “up to 40 people, sitting in one building, working on a system that might cause loss of discretionary monies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seven principles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wntvkoxvmx7" w:id="5"/>
      <w:bookmarkEnd w:id="5"/>
      <w:r w:rsidDel="00000000" w:rsidR="00000000" w:rsidRPr="00000000">
        <w:rPr>
          <w:color w:val="3d85c6"/>
          <w:rtl w:val="0"/>
        </w:rPr>
        <w:t xml:space="preserve">Recommended Practice</w:t>
      </w:r>
    </w:p>
    <w:p w:rsidR="00000000" w:rsidDel="00000000" w:rsidP="00000000" w:rsidRDefault="00000000" w:rsidRPr="00000000">
      <w:pPr>
        <w:contextualSpacing w:val="0"/>
      </w:pPr>
      <w:r w:rsidDel="00000000" w:rsidR="00000000" w:rsidRPr="00000000">
        <w:rPr>
          <w:color w:val="9900ff"/>
          <w:rtl w:val="0"/>
        </w:rPr>
        <w:t xml:space="preserve">According to Boehm and Turner (2009), “Analyzing the project risks is an effective way to help managers and practicioners determine the right weight of process.”</w:t>
      </w:r>
    </w:p>
    <w:p w:rsidR="00000000" w:rsidDel="00000000" w:rsidP="00000000" w:rsidRDefault="00000000" w:rsidRPr="00000000">
      <w:pPr>
        <w:contextualSpacing w:val="0"/>
      </w:pPr>
      <w:r w:rsidDel="00000000" w:rsidR="00000000" w:rsidRPr="00000000">
        <w:rPr>
          <w:color w:val="9900ff"/>
          <w:rtl w:val="0"/>
        </w:rPr>
        <w:t xml:space="preserve">a</w:t>
      </w:r>
      <w:r w:rsidDel="00000000" w:rsidR="00000000" w:rsidRPr="00000000">
        <w:rPr>
          <w:color w:val="9900ff"/>
          <w:rtl w:val="0"/>
        </w:rPr>
        <w:t xml:space="preserve">nd</w:t>
      </w:r>
    </w:p>
    <w:p w:rsidR="00000000" w:rsidDel="00000000" w:rsidP="00000000" w:rsidRDefault="00000000" w:rsidRPr="00000000">
      <w:pPr>
        <w:contextualSpacing w:val="0"/>
      </w:pPr>
      <w:r w:rsidDel="00000000" w:rsidR="00000000" w:rsidRPr="00000000">
        <w:rPr>
          <w:color w:val="9900ff"/>
          <w:rtl w:val="0"/>
        </w:rPr>
        <w:t xml:space="preserve">“Asking ‘</w:t>
      </w:r>
      <w:r w:rsidDel="00000000" w:rsidR="00000000" w:rsidRPr="00000000">
        <w:rPr>
          <w:i w:val="1"/>
          <w:color w:val="9900ff"/>
          <w:rtl w:val="0"/>
        </w:rPr>
        <w:t xml:space="preserve">Is it riskier for me to apply (more of) this process component or to refrain from applying it?</w:t>
      </w:r>
      <w:r w:rsidDel="00000000" w:rsidR="00000000" w:rsidRPr="00000000">
        <w:rPr>
          <w:color w:val="9900ff"/>
          <w:rtl w:val="0"/>
        </w:rPr>
        <w:t xml:space="preserve">’ and honestly evaluating the answer can lead to the definition of reasonable, practical and effective hybrids that balance discipline and agility.”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nopcheardvv" w:id="6"/>
      <w:bookmarkEnd w:id="6"/>
      <w:r w:rsidDel="00000000" w:rsidR="00000000" w:rsidRPr="00000000">
        <w:rPr>
          <w:color w:val="3d85c6"/>
          <w:rtl w:val="0"/>
        </w:rPr>
        <w:t xml:space="preserve">Practice Guide</w:t>
      </w:r>
    </w:p>
    <w:p w:rsidR="00000000" w:rsidDel="00000000" w:rsidP="00000000" w:rsidRDefault="00000000" w:rsidRPr="00000000">
      <w:pPr>
        <w:pStyle w:val="Heading2"/>
        <w:contextualSpacing w:val="0"/>
      </w:pPr>
      <w:bookmarkStart w:colFirst="0" w:colLast="0" w:name="h.u7wag4dkrrnv" w:id="7"/>
      <w:bookmarkEnd w:id="7"/>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hu59xrl4mb3" w:id="8"/>
      <w:bookmarkEnd w:id="8"/>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y2pix22kg3j" w:id="9"/>
      <w:bookmarkEnd w:id="9"/>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f2ctgmor7al" w:id="10"/>
      <w:bookmarkEnd w:id="10"/>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nhx3qfmyi1x" w:id="11"/>
      <w:bookmarkEnd w:id="11"/>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cxaq2c5get" w:id="12"/>
      <w:bookmarkEnd w:id="12"/>
      <w:r w:rsidDel="00000000" w:rsidR="00000000" w:rsidRPr="00000000">
        <w:rPr>
          <w:color w:val="3d85c6"/>
          <w:rtl w:val="0"/>
        </w:rPr>
        <w:t xml:space="preserve">Tool Guide</w:t>
      </w:r>
    </w:p>
    <w:p w:rsidR="00000000" w:rsidDel="00000000" w:rsidP="00000000" w:rsidRDefault="00000000" w:rsidRPr="00000000">
      <w:pPr>
        <w:pStyle w:val="Heading2"/>
        <w:contextualSpacing w:val="0"/>
      </w:pPr>
      <w:bookmarkStart w:colFirst="0" w:colLast="0" w:name="h.paf6zw7f4wag" w:id="13"/>
      <w:bookmarkEnd w:id="13"/>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csmtoaiq8i" w:id="14"/>
      <w:bookmarkEnd w:id="14"/>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ge4e09sogez" w:id="15"/>
      <w:bookmarkEnd w:id="15"/>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8pjsra61b" w:id="16"/>
      <w:bookmarkEnd w:id="16"/>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h18eogtzgxf" w:id="17"/>
      <w:bookmarkEnd w:id="17"/>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u78uu71rnwl" w:id="18"/>
      <w:bookmarkEnd w:id="18"/>
      <w:r w:rsidDel="00000000" w:rsidR="00000000" w:rsidRPr="00000000">
        <w:rPr>
          <w:color w:val="3d85c6"/>
          <w:rtl w:val="0"/>
        </w:rPr>
        <w:t xml:space="preserve">Learning Package</w:t>
      </w:r>
    </w:p>
    <w:p w:rsidR="00000000" w:rsidDel="00000000" w:rsidP="00000000" w:rsidRDefault="00000000" w:rsidRPr="00000000">
      <w:pPr>
        <w:pStyle w:val="Heading2"/>
        <w:contextualSpacing w:val="0"/>
      </w:pPr>
      <w:bookmarkStart w:colFirst="0" w:colLast="0" w:name="h.rte4s74iqkdi" w:id="19"/>
      <w:bookmarkEnd w:id="19"/>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fcwu7xmvj9z" w:id="20"/>
      <w:bookmarkEnd w:id="20"/>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jwr9vvxxq0f" w:id="21"/>
      <w:bookmarkEnd w:id="21"/>
      <w:r w:rsidDel="00000000" w:rsidR="00000000" w:rsidRPr="00000000">
        <w:rPr>
          <w:rtl w:val="0"/>
        </w:rPr>
        <w:t xml:space="preserve">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gowuno6cy3" w:id="22"/>
      <w:bookmarkEnd w:id="22"/>
      <w:r w:rsidDel="00000000" w:rsidR="00000000" w:rsidRPr="00000000">
        <w:rPr>
          <w:rtl w:val="0"/>
        </w:rPr>
        <w:t xml:space="preserve">Required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dxonfe3csuf" w:id="23"/>
      <w:bookmarkEnd w:id="23"/>
      <w:r w:rsidDel="00000000" w:rsidR="00000000" w:rsidRPr="00000000">
        <w:rPr>
          <w:rtl w:val="0"/>
        </w:rPr>
        <w:t xml:space="preserve">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fw24gwiw9i6" w:id="24"/>
      <w:bookmarkEnd w:id="24"/>
      <w:r w:rsidDel="00000000" w:rsidR="00000000" w:rsidRPr="00000000">
        <w:rPr>
          <w:color w:val="3d85c6"/>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sgc4spmqa" w:id="25"/>
      <w:bookmarkEnd w:id="25"/>
      <w:r w:rsidDel="00000000" w:rsidR="00000000" w:rsidRPr="00000000">
        <w:rPr>
          <w:color w:val="3d85c6"/>
          <w:rtl w:val="0"/>
        </w:rPr>
        <w:t xml:space="preserve">Retrospectives</w:t>
      </w:r>
    </w:p>
    <w:p w:rsidR="00000000" w:rsidDel="00000000" w:rsidP="00000000" w:rsidRDefault="00000000" w:rsidRPr="00000000">
      <w:pPr>
        <w:pStyle w:val="Heading2"/>
        <w:contextualSpacing w:val="0"/>
      </w:pPr>
      <w:bookmarkStart w:colFirst="0" w:colLast="0" w:name="h.s0gxcqp2qss0" w:id="26"/>
      <w:bookmarkEnd w:id="26"/>
      <w:r w:rsidDel="00000000" w:rsidR="00000000" w:rsidRPr="00000000">
        <w:rPr>
          <w:rtl w:val="0"/>
        </w:rPr>
        <w:t xml:space="preserve">Team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16bhbmw3in" w:id="27"/>
      <w:bookmarkEnd w:id="27"/>
      <w:r w:rsidDel="00000000" w:rsidR="00000000" w:rsidRPr="00000000">
        <w:rPr>
          <w:rtl w:val="0"/>
        </w:rPr>
        <w:t xml:space="preserve">Individual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1mmwp77inf" w:id="28"/>
      <w:bookmarkEnd w:id="28"/>
      <w:r w:rsidDel="00000000" w:rsidR="00000000" w:rsidRPr="00000000">
        <w:rPr>
          <w:rtl w:val="0"/>
        </w:rPr>
        <w:t xml:space="preserve">Gabby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pd5rlimfmw" w:id="29"/>
      <w:bookmarkEnd w:id="29"/>
      <w:r w:rsidDel="00000000" w:rsidR="00000000" w:rsidRPr="00000000">
        <w:rPr>
          <w:rtl w:val="0"/>
        </w:rPr>
        <w:t xml:space="preserve">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zhlqrczz1z" w:id="30"/>
      <w:bookmarkEnd w:id="30"/>
      <w:r w:rsidDel="00000000" w:rsidR="00000000" w:rsidRPr="00000000">
        <w:rPr>
          <w:rtl w:val="0"/>
        </w:rPr>
        <w:t xml:space="preserve">Wayne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31"/>
      <w:bookmarkEnd w:id="31"/>
      <w:r w:rsidDel="00000000" w:rsidR="00000000" w:rsidRPr="00000000">
        <w:rPr>
          <w:color w:val="3d85c6"/>
          <w:rtl w:val="0"/>
        </w:rPr>
        <w:t xml:space="preserve">Bibliography</w:t>
      </w:r>
    </w:p>
    <w:p w:rsidR="00000000" w:rsidDel="00000000" w:rsidP="00000000" w:rsidRDefault="00000000" w:rsidRPr="00000000">
      <w:pPr>
        <w:contextualSpacing w:val="0"/>
      </w:pPr>
      <w:r w:rsidDel="00000000" w:rsidR="00000000" w:rsidRPr="00000000">
        <w:rPr>
          <w:rtl w:val="0"/>
        </w:rPr>
        <w:t xml:space="preserve">Boehm, B. &amp; Turner, R. (2009). </w:t>
      </w:r>
      <w:r w:rsidDel="00000000" w:rsidR="00000000" w:rsidRPr="00000000">
        <w:rPr>
          <w:i w:val="1"/>
          <w:rtl w:val="0"/>
        </w:rPr>
        <w:t xml:space="preserve">Balancing agility and discipline.</w:t>
      </w:r>
      <w:r w:rsidDel="00000000" w:rsidR="00000000" w:rsidRPr="00000000">
        <w:rPr>
          <w:rtl w:val="0"/>
        </w:rPr>
        <w:t xml:space="preserve"> Addison-Wesley.</w:t>
      </w:r>
    </w:p>
    <w:p w:rsidR="00000000" w:rsidDel="00000000" w:rsidP="00000000" w:rsidRDefault="00000000" w:rsidRPr="00000000">
      <w:pPr>
        <w:contextualSpacing w:val="0"/>
      </w:pPr>
      <w:r w:rsidDel="00000000" w:rsidR="00000000" w:rsidRPr="00000000">
        <w:rPr>
          <w:rtl w:val="0"/>
        </w:rPr>
        <w:t xml:space="preserve">Meyer, B. (2014). </w:t>
      </w:r>
      <w:r w:rsidDel="00000000" w:rsidR="00000000" w:rsidRPr="00000000">
        <w:rPr>
          <w:i w:val="1"/>
          <w:rtl w:val="0"/>
        </w:rPr>
        <w:t xml:space="preserve">Agile!</w:t>
      </w:r>
      <w:r w:rsidDel="00000000" w:rsidR="00000000" w:rsidRPr="00000000">
        <w:rPr>
          <w:rtl w:val="0"/>
        </w:rPr>
        <w:t xml:space="preserve">. Zurich, Switzerland: Springer.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