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w:t>
      </w:r>
      <w:r w:rsidDel="00000000" w:rsidR="00000000" w:rsidRPr="00000000">
        <w:rPr>
          <w:color w:val="9900ff"/>
          <w:rtl w:val="0"/>
        </w:rPr>
        <w:t xml:space="preserve">startup name</w:t>
      </w:r>
      <w:r w:rsidDel="00000000" w:rsidR="00000000" w:rsidRPr="00000000">
        <w:rPr>
          <w:rtl w:val="0"/>
        </w:rPr>
        <w:t xml:space="preserve">] have displayed a viable game development concept as part of an international contest. </w:t>
      </w:r>
      <w:r w:rsidDel="00000000" w:rsidR="00000000" w:rsidRPr="00000000">
        <w:rPr>
          <w:rtl w:val="0"/>
        </w:rPr>
        <w:t xml:space="preserve">As part of a government initiative to support growth of the game industry in [</w:t>
      </w:r>
      <w:r w:rsidDel="00000000" w:rsidR="00000000" w:rsidRPr="00000000">
        <w:rPr>
          <w:color w:val="9900ff"/>
          <w:rtl w:val="0"/>
        </w:rPr>
        <w:t xml:space="preserve">this region</w:t>
      </w:r>
      <w:r w:rsidDel="00000000" w:rsidR="00000000" w:rsidRPr="00000000">
        <w:rPr>
          <w:rtl w:val="0"/>
        </w:rPr>
        <w:t xml:space="preserve">], an award of local and national government funding has been granted to [</w:t>
      </w:r>
      <w:r w:rsidDel="00000000" w:rsidR="00000000" w:rsidRPr="00000000">
        <w:rPr>
          <w:color w:val="9900ff"/>
          <w:rtl w:val="0"/>
        </w:rPr>
        <w:t xml:space="preserve">startup name</w:t>
      </w:r>
      <w:r w:rsidDel="00000000" w:rsidR="00000000" w:rsidRPr="00000000">
        <w:rPr>
          <w:rtl w:val="0"/>
        </w:rPr>
        <w:t xml:space="preserve">]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w:t>
      </w:r>
      <w:r w:rsidDel="00000000" w:rsidR="00000000" w:rsidRPr="00000000">
        <w:rPr>
          <w:color w:val="9900ff"/>
          <w:rtl w:val="0"/>
        </w:rPr>
        <w:t xml:space="preserve">startup name</w:t>
      </w:r>
      <w:r w:rsidDel="00000000" w:rsidR="00000000" w:rsidRPr="00000000">
        <w:rPr>
          <w:rtl w:val="0"/>
        </w:rPr>
        <w:t xml:space="preserve">]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9900ff"/>
          <w:rtl w:val="0"/>
        </w:rPr>
        <w:t xml:space="preserve">game name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This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adhere to this concept as far as reasonably practicable and any approach which risks deviation or scope-creep must include processes to mitigate these phenomena.</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9900ff"/>
          <w:rtl w:val="0"/>
        </w:rPr>
        <w:t xml:space="preserve">startup name</w:t>
      </w:r>
      <w:r w:rsidDel="00000000" w:rsidR="00000000" w:rsidRPr="00000000">
        <w:rPr>
          <w:rtl w:val="0"/>
        </w:rPr>
        <w:t xml:space="preserve">] will be accountable to the New Zealand public and must be able to show positive progress throughout development. It is expected that proof of progress will need to be provided at regular intervals. As of the writing of this report, New Zealand Government has not issued any regulations for game development, other than publication classification requirements (New Zealand Legislation, 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9900ff"/>
        </w:rPr>
      </w:pPr>
      <w:r w:rsidDel="00000000" w:rsidR="00000000" w:rsidRPr="00000000">
        <w:rPr>
          <w:color w:val="9900ff"/>
          <w:rtl w:val="0"/>
        </w:rPr>
        <w:t xml:space="preserve">Criticality</w:t>
      </w:r>
    </w:p>
    <w:p w:rsidR="00000000" w:rsidDel="00000000" w:rsidP="00000000" w:rsidRDefault="00000000" w:rsidRPr="00000000">
      <w:pPr>
        <w:numPr>
          <w:ilvl w:val="0"/>
          <w:numId w:val="2"/>
        </w:numPr>
        <w:ind w:left="720" w:hanging="360"/>
        <w:contextualSpacing w:val="1"/>
        <w:rPr>
          <w:color w:val="9900ff"/>
        </w:rPr>
      </w:pPr>
      <w:r w:rsidDel="00000000" w:rsidR="00000000" w:rsidRPr="00000000">
        <w:rPr>
          <w:color w:val="9900ff"/>
          <w:rtl w:val="0"/>
        </w:rPr>
        <w:t xml:space="preserve">Linear or sandboxed</w:t>
      </w:r>
    </w:p>
    <w:p w:rsidR="00000000" w:rsidDel="00000000" w:rsidP="00000000" w:rsidRDefault="00000000" w:rsidRPr="00000000">
      <w:pPr>
        <w:pStyle w:val="Heading2"/>
        <w:contextualSpacing w:val="0"/>
      </w:pPr>
      <w:bookmarkStart w:colFirst="0" w:colLast="0" w:name="h.stjei05rkuvn" w:id="5"/>
      <w:bookmarkEnd w:id="5"/>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w:t>
      </w:r>
      <w:r w:rsidDel="00000000" w:rsidR="00000000" w:rsidRPr="00000000">
        <w:rPr>
          <w:color w:val="9900ff"/>
          <w:rtl w:val="0"/>
        </w:rPr>
        <w:t xml:space="preserve">this study</w:t>
      </w:r>
      <w:r w:rsidDel="00000000" w:rsidR="00000000" w:rsidRPr="00000000">
        <w:rPr>
          <w:rtl w:val="0"/>
        </w:rPr>
        <w:t xml:space="preserve">],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t xml:space="preserve">However, the projected size of the development team is not considered optimal for a fully agile approach. Boehm and Turner (2009) describe several scenarios where teams of 50 - 150, although successful, were not easily managed. </w:t>
      </w:r>
      <w:r w:rsidDel="00000000" w:rsidR="00000000" w:rsidRPr="00000000">
        <w:rPr>
          <w:rtl w:val="0"/>
        </w:rPr>
        <w:t xml:space="preserve">It is for this reason the study does not completely rule out aspects of plan-driven development which may be beneficial in this 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6"/>
      <w:bookmarkEnd w:id="6"/>
      <w:r w:rsidDel="00000000" w:rsidR="00000000" w:rsidRPr="00000000">
        <w:rPr>
          <w:color w:val="3d85c6"/>
          <w:rtl w:val="0"/>
        </w:rPr>
        <w:t xml:space="preserve">Agile Development Approaches</w:t>
      </w:r>
    </w:p>
    <w:p w:rsidR="00000000" w:rsidDel="00000000" w:rsidP="00000000" w:rsidRDefault="00000000" w:rsidRPr="00000000">
      <w:pPr>
        <w:contextualSpacing w:val="0"/>
      </w:pPr>
      <w:r w:rsidDel="00000000" w:rsidR="00000000" w:rsidRPr="00000000">
        <w:rPr>
          <w:rtl w:val="0"/>
        </w:rPr>
        <w:t xml:space="preserve">This section outlines a collection of suitable development approaches, each drawing on the Agile philosophies of [</w:t>
      </w:r>
      <w:r w:rsidDel="00000000" w:rsidR="00000000" w:rsidRPr="00000000">
        <w:rPr>
          <w:color w:val="9900ff"/>
          <w:rtl w:val="0"/>
        </w:rPr>
        <w:t xml:space="preserve">insert philosophies with references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13a74a2wn5ou" w:id="7"/>
      <w:bookmarkEnd w:id="7"/>
      <w:r w:rsidDel="00000000" w:rsidR="00000000" w:rsidRPr="00000000">
        <w:rPr>
          <w:rtl w:val="0"/>
        </w:rPr>
        <w:t xml:space="preserve">Crystal</w:t>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8"/>
      <w:bookmarkEnd w:id="8"/>
      <w:r w:rsidDel="00000000" w:rsidR="00000000" w:rsidRPr="00000000">
        <w:rPr>
          <w:color w:val="000000"/>
          <w:sz w:val="24"/>
          <w:szCs w:val="24"/>
          <w:rtl w:val="0"/>
        </w:rPr>
        <w:t xml:space="preserve">[</w:t>
      </w:r>
      <w:r w:rsidDel="00000000" w:rsidR="00000000" w:rsidRPr="00000000">
        <w:rPr>
          <w:color w:val="9900ff"/>
          <w:sz w:val="24"/>
          <w:szCs w:val="24"/>
          <w:rtl w:val="0"/>
        </w:rPr>
        <w:t xml:space="preserve">Sez researching Crystal</w:t>
      </w:r>
      <w:r w:rsidDel="00000000" w:rsidR="00000000" w:rsidRPr="00000000">
        <w:rPr>
          <w:color w:val="000000"/>
          <w:sz w:val="24"/>
          <w:szCs w:val="24"/>
          <w:rtl w:val="0"/>
        </w:rPr>
        <w:t xml:space="preserve">]</w:t>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8"/>
      <w:bookmarkEnd w:id="8"/>
      <w:r w:rsidDel="00000000" w:rsidR="00000000" w:rsidRPr="00000000">
        <w:rPr>
          <w:color w:val="000000"/>
          <w:sz w:val="24"/>
          <w:szCs w:val="24"/>
          <w:rtl w:val="0"/>
        </w:rPr>
        <w:t xml:space="preserve">“The Crystal Clear method covers smaller projects; Crystal Orange was the first to be developed and addresses larger projects.” (Meyer, 2014, p141)</w:t>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8"/>
      <w:bookmarkEnd w:id="8"/>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8"/>
      <w:bookmarkEnd w:id="8"/>
      <w:r w:rsidDel="00000000" w:rsidR="00000000" w:rsidRPr="00000000">
        <w:rPr>
          <w:color w:val="000000"/>
          <w:sz w:val="24"/>
          <w:szCs w:val="24"/>
          <w:rtl w:val="0"/>
        </w:rPr>
        <w:t xml:space="preserve">Crystal Orange is for “up to 40 people, sitting in one building, working on a system that might cause loss of discretionary monies</w:t>
      </w:r>
    </w:p>
    <w:p w:rsidR="00000000" w:rsidDel="00000000" w:rsidP="00000000" w:rsidRDefault="00000000" w:rsidRPr="00000000">
      <w:pPr>
        <w:pStyle w:val="Heading3"/>
        <w:contextualSpacing w:val="0"/>
      </w:pPr>
      <w:bookmarkStart w:colFirst="0" w:colLast="0" w:name="h.oi6rgfn75hh0" w:id="9"/>
      <w:bookmarkEnd w:id="9"/>
      <w:r w:rsidDel="00000000" w:rsidR="00000000" w:rsidRPr="00000000">
        <w:rPr>
          <w:b w:val="1"/>
          <w:color w:val="000000"/>
          <w:sz w:val="24"/>
          <w:szCs w:val="24"/>
          <w:rtl w:val="0"/>
        </w:rPr>
        <w:t xml:space="preserve">seven principles</w:t>
      </w:r>
    </w:p>
    <w:p w:rsidR="00000000" w:rsidDel="00000000" w:rsidP="00000000" w:rsidRDefault="00000000" w:rsidRPr="00000000">
      <w:pPr>
        <w:pStyle w:val="Heading3"/>
        <w:contextualSpacing w:val="0"/>
      </w:pPr>
      <w:bookmarkStart w:colFirst="0" w:colLast="0" w:name="h.1yyudxwcfiz4" w:id="10"/>
      <w:bookmarkEnd w:id="10"/>
      <w:r w:rsidDel="00000000" w:rsidR="00000000" w:rsidRPr="00000000">
        <w:rPr>
          <w:rtl w:val="0"/>
        </w:rPr>
        <w:t xml:space="preserve">Practices and Requirements</w:t>
      </w:r>
    </w:p>
    <w:p w:rsidR="00000000" w:rsidDel="00000000" w:rsidP="00000000" w:rsidRDefault="00000000" w:rsidRPr="00000000">
      <w:pPr>
        <w:pStyle w:val="Heading3"/>
        <w:contextualSpacing w:val="0"/>
      </w:pPr>
      <w:bookmarkStart w:colFirst="0" w:colLast="0" w:name="h.1yyudxwcfiz4" w:id="10"/>
      <w:bookmarkEnd w:id="10"/>
      <w:r w:rsidDel="00000000" w:rsidR="00000000" w:rsidRPr="00000000">
        <w:rPr>
          <w:rtl w:val="0"/>
        </w:rPr>
        <w:t xml:space="preserve">Advantages and Payoff</w:t>
      </w:r>
    </w:p>
    <w:p w:rsidR="00000000" w:rsidDel="00000000" w:rsidP="00000000" w:rsidRDefault="00000000" w:rsidRPr="00000000">
      <w:pPr>
        <w:pStyle w:val="Heading3"/>
        <w:contextualSpacing w:val="0"/>
      </w:pPr>
      <w:bookmarkStart w:colFirst="0" w:colLast="0" w:name="h.1yyudxwcfiz4" w:id="10"/>
      <w:bookmarkEnd w:id="10"/>
      <w:r w:rsidDel="00000000" w:rsidR="00000000" w:rsidRPr="00000000">
        <w:rPr>
          <w:rtl w:val="0"/>
        </w:rPr>
        <w:t xml:space="preserve">Disadvantages and Risk</w:t>
      </w:r>
    </w:p>
    <w:p w:rsidR="00000000" w:rsidDel="00000000" w:rsidP="00000000" w:rsidRDefault="00000000" w:rsidRPr="00000000">
      <w:pPr>
        <w:pStyle w:val="Heading3"/>
        <w:contextualSpacing w:val="0"/>
      </w:pPr>
      <w:bookmarkStart w:colFirst="0" w:colLast="0" w:name="h.1yyudxwcfiz4" w:id="10"/>
      <w:bookmarkEnd w:id="10"/>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wntvkoxvmx7" w:id="11"/>
      <w:bookmarkEnd w:id="11"/>
      <w:r w:rsidDel="00000000" w:rsidR="00000000" w:rsidRPr="00000000">
        <w:rPr>
          <w:color w:val="3d85c6"/>
          <w:rtl w:val="0"/>
        </w:rPr>
        <w:t xml:space="preserve">Recommended Practice</w:t>
      </w:r>
    </w:p>
    <w:p w:rsidR="00000000" w:rsidDel="00000000" w:rsidP="00000000" w:rsidRDefault="00000000" w:rsidRPr="00000000">
      <w:pPr>
        <w:contextualSpacing w:val="0"/>
      </w:pPr>
      <w:r w:rsidDel="00000000" w:rsidR="00000000" w:rsidRPr="00000000">
        <w:rPr>
          <w:color w:val="9900ff"/>
          <w:rtl w:val="0"/>
        </w:rPr>
        <w:t xml:space="preserve">According to Boehm and Turner (2009), “Analyzing the project risks is an effective way to help managers and practicioners determine the right weight of process.”</w:t>
      </w:r>
    </w:p>
    <w:p w:rsidR="00000000" w:rsidDel="00000000" w:rsidP="00000000" w:rsidRDefault="00000000" w:rsidRPr="00000000">
      <w:pPr>
        <w:contextualSpacing w:val="0"/>
      </w:pPr>
      <w:r w:rsidDel="00000000" w:rsidR="00000000" w:rsidRPr="00000000">
        <w:rPr>
          <w:color w:val="9900ff"/>
          <w:rtl w:val="0"/>
        </w:rPr>
        <w:t xml:space="preserve">a</w:t>
      </w:r>
      <w:r w:rsidDel="00000000" w:rsidR="00000000" w:rsidRPr="00000000">
        <w:rPr>
          <w:color w:val="9900ff"/>
          <w:rtl w:val="0"/>
        </w:rPr>
        <w:t xml:space="preserve">nd</w:t>
      </w:r>
    </w:p>
    <w:p w:rsidR="00000000" w:rsidDel="00000000" w:rsidP="00000000" w:rsidRDefault="00000000" w:rsidRPr="00000000">
      <w:pPr>
        <w:contextualSpacing w:val="0"/>
      </w:pPr>
      <w:r w:rsidDel="00000000" w:rsidR="00000000" w:rsidRPr="00000000">
        <w:rPr>
          <w:color w:val="9900ff"/>
          <w:rtl w:val="0"/>
        </w:rPr>
        <w:t xml:space="preserve">“Asking ‘</w:t>
      </w:r>
      <w:r w:rsidDel="00000000" w:rsidR="00000000" w:rsidRPr="00000000">
        <w:rPr>
          <w:i w:val="1"/>
          <w:color w:val="9900ff"/>
          <w:rtl w:val="0"/>
        </w:rPr>
        <w:t xml:space="preserve">Is it riskier for me to apply (more of) this process component or to refrain from applying it?</w:t>
      </w:r>
      <w:r w:rsidDel="00000000" w:rsidR="00000000" w:rsidRPr="00000000">
        <w:rPr>
          <w:color w:val="9900ff"/>
          <w:rtl w:val="0"/>
        </w:rPr>
        <w:t xml:space="preserve">’ and honestly evaluating the answer can lead to the definition of reasonable, practical and effective hybrids that balance discipline and agility.”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12"/>
      <w:bookmarkEnd w:id="12"/>
      <w:r w:rsidDel="00000000" w:rsidR="00000000" w:rsidRPr="00000000">
        <w:rPr>
          <w:color w:val="3d85c6"/>
          <w:rtl w:val="0"/>
        </w:rPr>
        <w:t xml:space="preserve">Practice Guide</w:t>
      </w:r>
    </w:p>
    <w:p w:rsidR="00000000" w:rsidDel="00000000" w:rsidP="00000000" w:rsidRDefault="00000000" w:rsidRPr="00000000">
      <w:pPr>
        <w:pStyle w:val="Heading2"/>
        <w:contextualSpacing w:val="0"/>
      </w:pPr>
      <w:bookmarkStart w:colFirst="0" w:colLast="0" w:name="h.u7wag4dkrrnv" w:id="13"/>
      <w:bookmarkEnd w:id="13"/>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hu59xrl4mb3" w:id="14"/>
      <w:bookmarkEnd w:id="14"/>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y2pix22kg3j" w:id="15"/>
      <w:bookmarkEnd w:id="15"/>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f2ctgmor7al" w:id="16"/>
      <w:bookmarkEnd w:id="16"/>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nhx3qfmyi1x" w:id="17"/>
      <w:bookmarkEnd w:id="17"/>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18"/>
      <w:bookmarkEnd w:id="18"/>
      <w:r w:rsidDel="00000000" w:rsidR="00000000" w:rsidRPr="00000000">
        <w:rPr>
          <w:color w:val="3d85c6"/>
          <w:rtl w:val="0"/>
        </w:rPr>
        <w:t xml:space="preserve">Tool Guide</w:t>
      </w:r>
    </w:p>
    <w:p w:rsidR="00000000" w:rsidDel="00000000" w:rsidP="00000000" w:rsidRDefault="00000000" w:rsidRPr="00000000">
      <w:pPr>
        <w:pStyle w:val="Heading2"/>
        <w:contextualSpacing w:val="0"/>
      </w:pPr>
      <w:bookmarkStart w:colFirst="0" w:colLast="0" w:name="h.paf6zw7f4wag" w:id="19"/>
      <w:bookmarkEnd w:id="19"/>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20"/>
      <w:bookmarkEnd w:id="20"/>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ge4e09sogez" w:id="21"/>
      <w:bookmarkEnd w:id="21"/>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22"/>
      <w:bookmarkEnd w:id="22"/>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23"/>
      <w:bookmarkEnd w:id="23"/>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24"/>
      <w:bookmarkEnd w:id="24"/>
      <w:r w:rsidDel="00000000" w:rsidR="00000000" w:rsidRPr="00000000">
        <w:rPr>
          <w:color w:val="3d85c6"/>
          <w:rtl w:val="0"/>
        </w:rPr>
        <w:t xml:space="preserve">Learning Package</w:t>
      </w:r>
    </w:p>
    <w:p w:rsidR="00000000" w:rsidDel="00000000" w:rsidP="00000000" w:rsidRDefault="00000000" w:rsidRPr="00000000">
      <w:pPr>
        <w:pStyle w:val="Heading2"/>
        <w:contextualSpacing w:val="0"/>
      </w:pPr>
      <w:bookmarkStart w:colFirst="0" w:colLast="0" w:name="h.rte4s74iqkdi" w:id="25"/>
      <w:bookmarkEnd w:id="25"/>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fcwu7xmvj9z" w:id="26"/>
      <w:bookmarkEnd w:id="26"/>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27"/>
      <w:bookmarkEnd w:id="27"/>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gowuno6cy3" w:id="28"/>
      <w:bookmarkEnd w:id="28"/>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dxonfe3csuf" w:id="29"/>
      <w:bookmarkEnd w:id="29"/>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30"/>
      <w:bookmarkEnd w:id="30"/>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31"/>
      <w:bookmarkEnd w:id="31"/>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32"/>
      <w:bookmarkEnd w:id="32"/>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33"/>
      <w:bookmarkEnd w:id="33"/>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34"/>
      <w:bookmarkEnd w:id="34"/>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35"/>
      <w:bookmarkEnd w:id="35"/>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36"/>
      <w:bookmarkEnd w:id="36"/>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37"/>
      <w:bookmarkEnd w:id="37"/>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rtl w:val="0"/>
        </w:rPr>
        <w:t xml:space="preserve">Balancing agility and discipline. Addison-Wesley.</w:t>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rtl w:val="0"/>
        </w:rPr>
        <w:t xml:space="preserve">Agile!</w:t>
      </w:r>
      <w:r w:rsidDel="00000000" w:rsidR="00000000" w:rsidRPr="00000000">
        <w:rPr>
          <w:rtl w:val="0"/>
        </w:rPr>
        <w:t xml:space="preserve">. Zurich, Switzerland: Springer.</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New Zealand Legislation. (n.d.) Retreived from </w:t>
      </w:r>
      <w:r w:rsidDel="00000000" w:rsidR="00000000" w:rsidRPr="00000000">
        <w:rPr>
          <w:rtl w:val="0"/>
        </w:rPr>
        <w:t xml:space="preserve">http://www.legislation.govt.nz/</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