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15" w:rsidRDefault="006F1C15">
      <w:pPr>
        <w:spacing w:after="0" w:line="259" w:lineRule="auto"/>
        <w:ind w:left="466" w:firstLine="0"/>
      </w:pPr>
    </w:p>
    <w:tbl>
      <w:tblPr>
        <w:tblStyle w:val="TableGrid"/>
        <w:tblW w:w="10408" w:type="dxa"/>
        <w:tblInd w:w="470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85"/>
        <w:gridCol w:w="2612"/>
        <w:gridCol w:w="2614"/>
        <w:gridCol w:w="2597"/>
      </w:tblGrid>
      <w:tr w:rsidR="006F1C15" w:rsidRPr="00305449">
        <w:trPr>
          <w:trHeight w:val="27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Clase</w:t>
            </w:r>
            <w:proofErr w:type="spellEnd"/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Descripción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</w:rPr>
              <w:t xml:space="preserve"> general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Área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</w:rPr>
              <w:t xml:space="preserve"> de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cubrimiento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ejemplo</w:t>
            </w:r>
            <w:proofErr w:type="spellEnd"/>
          </w:p>
        </w:tc>
      </w:tr>
      <w:tr w:rsidR="006F1C15" w:rsidRPr="00305449">
        <w:trPr>
          <w:trHeight w:val="816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05449">
              <w:rPr>
                <w:rFonts w:ascii="Century Gothic" w:hAnsi="Century Gothic"/>
                <w:sz w:val="18"/>
                <w:szCs w:val="18"/>
              </w:rPr>
              <w:t>WAN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Wide área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network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, red grande en la que puede intervenir uno o más ISP.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Desplegada en un continente o a nivel mundial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La internet, redes satelitales militares.</w:t>
            </w:r>
          </w:p>
        </w:tc>
      </w:tr>
      <w:tr w:rsidR="006F1C15" w:rsidRPr="00305449">
        <w:trPr>
          <w:trHeight w:val="162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05449">
              <w:rPr>
                <w:rFonts w:ascii="Century Gothic" w:hAnsi="Century Gothic"/>
                <w:sz w:val="18"/>
                <w:szCs w:val="18"/>
              </w:rPr>
              <w:t>MAN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Metropolitan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 área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network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, red de área metropolitana que a través de una conexión de alta velocidad ofrece cobertura en una zona geográfica extensa.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Ofrece cobertura a una zona geográfica extensa, por ejemplo, una ciudad o un municipio.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05449">
              <w:rPr>
                <w:rFonts w:ascii="Century Gothic" w:hAnsi="Century Gothic"/>
                <w:sz w:val="18"/>
                <w:szCs w:val="18"/>
              </w:rPr>
              <w:t xml:space="preserve">Red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en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</w:rPr>
              <w:t xml:space="preserve"> campus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u</w:t>
            </w:r>
            <w:r w:rsidRPr="00305449">
              <w:rPr>
                <w:rFonts w:ascii="Century Gothic" w:hAnsi="Century Gothic"/>
                <w:sz w:val="18"/>
                <w:szCs w:val="18"/>
              </w:rPr>
              <w:t>niversitario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6F1C15" w:rsidRPr="00305449">
        <w:trPr>
          <w:trHeight w:val="1085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05449">
              <w:rPr>
                <w:rFonts w:ascii="Century Gothic" w:hAnsi="Century Gothic"/>
                <w:sz w:val="18"/>
                <w:szCs w:val="18"/>
              </w:rPr>
              <w:t>GAN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Global área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network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, red que puede conectar múltiples redes de área amplia.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Geográficamente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</w:rPr>
              <w:t>ilimitada</w:t>
            </w:r>
            <w:proofErr w:type="spellEnd"/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El establecimiento de una red de ubicaciones mundiales de una compañía internacional.</w:t>
            </w:r>
          </w:p>
        </w:tc>
      </w:tr>
      <w:tr w:rsidR="006F1C15" w:rsidRPr="00305449">
        <w:trPr>
          <w:trHeight w:val="1351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05449">
              <w:rPr>
                <w:rFonts w:ascii="Century Gothic" w:hAnsi="Century Gothic"/>
                <w:sz w:val="18"/>
                <w:szCs w:val="18"/>
              </w:rPr>
              <w:t>LAN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Local área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network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, red de área limitada administrada por el dueño de la infraestructura.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Usualmente ofrece cobertura a un piso, un edificio o un conjunto de edificios muy cercanos, cubre máximo 1km.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Una red doméstica, una red interna de una oficina.</w:t>
            </w:r>
          </w:p>
        </w:tc>
      </w:tr>
      <w:tr w:rsidR="006F1C15" w:rsidRPr="00305449">
        <w:trPr>
          <w:trHeight w:val="1623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05449">
              <w:rPr>
                <w:rFonts w:ascii="Century Gothic" w:hAnsi="Century Gothic"/>
                <w:sz w:val="18"/>
                <w:szCs w:val="18"/>
              </w:rPr>
              <w:t>PAN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Personal área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network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, red de cobertura pequeña que normalmente está compuesta por equipos de cómputo de un solo individuo.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Cubre pocos metros ya que normalmente es de uso personal.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Las computadoras personales, impresoras, máquinas de fax, teléfo</w:t>
            </w: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nos, PDA, escáneres y consolas de videojuegos.</w:t>
            </w:r>
          </w:p>
        </w:tc>
      </w:tr>
      <w:tr w:rsidR="006F1C15" w:rsidRPr="00305449">
        <w:trPr>
          <w:trHeight w:val="1354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305449">
              <w:rPr>
                <w:rFonts w:ascii="Century Gothic" w:hAnsi="Century Gothic"/>
                <w:sz w:val="18"/>
                <w:szCs w:val="18"/>
              </w:rPr>
              <w:t>HAN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Home área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network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, es un tipo de red LAN en la que se encuentran dispositivos de diferentes clases interconectados entre sí.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Cubre pocos metros, ya que es usada en el hogar.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Sector de la domótica del hogar.</w:t>
            </w:r>
          </w:p>
        </w:tc>
      </w:tr>
      <w:tr w:rsidR="006F1C15" w:rsidRPr="00305449">
        <w:trPr>
          <w:trHeight w:val="403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Otras</w:t>
            </w:r>
          </w:p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a.</w:t>
            </w:r>
          </w:p>
          <w:p w:rsidR="006F1C15" w:rsidRPr="00305449" w:rsidRDefault="009C5C11" w:rsidP="00305449">
            <w:pPr>
              <w:spacing w:after="0" w:line="259" w:lineRule="auto"/>
              <w:ind w:left="113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VPN</w:t>
            </w:r>
          </w:p>
          <w:p w:rsidR="006F1C15" w:rsidRPr="00305449" w:rsidRDefault="009C5C11" w:rsidP="00305449">
            <w:pPr>
              <w:spacing w:after="0" w:line="259" w:lineRule="auto"/>
              <w:ind w:left="113" w:right="1994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b.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IoT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 c.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3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VPN: Virtual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private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network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, red que utiliza la infraestructura de una red física, para asociar sistemas informáticos de manera lógica.</w:t>
            </w:r>
          </w:p>
          <w:p w:rsidR="006F1C15" w:rsidRPr="00305449" w:rsidRDefault="006F1C15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IoT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: Red del Internet de</w:t>
            </w:r>
          </w:p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Cosas es una Red de Baja Potencia de Banda Ancha, es un estándar de tecnología de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1" w:line="23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VPN: Puede tener desde una cobertura desde una cobertura local hasta una mundial.</w:t>
            </w: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9C5C11" w:rsidP="00305449">
            <w:pPr>
              <w:spacing w:after="0" w:line="259" w:lineRule="auto"/>
              <w:ind w:left="-9" w:firstLine="14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IoT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: Cobertura baja, normalmente los dispositivos conectados </w:t>
            </w:r>
            <w:proofErr w:type="gram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se  encuentran</w:t>
            </w:r>
            <w:proofErr w:type="gram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 xml:space="preserve"> </w:t>
            </w: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cerca.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3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VPN: Empresas que cuentan con instalaciones diseminadas en todo el país o, incluso, en todo el mundo pueden implementar una red VPN.</w:t>
            </w: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59" w:lineRule="auto"/>
              <w:ind w:left="72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6F1C15" w:rsidP="00305449">
            <w:pPr>
              <w:spacing w:after="0" w:line="239" w:lineRule="auto"/>
              <w:ind w:left="5" w:right="182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  <w:p w:rsidR="006F1C15" w:rsidRPr="00305449" w:rsidRDefault="009C5C11" w:rsidP="00305449">
            <w:pPr>
              <w:spacing w:after="0" w:line="259" w:lineRule="auto"/>
              <w:ind w:left="5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proofErr w:type="spellStart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Io</w:t>
            </w: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T</w:t>
            </w:r>
            <w:proofErr w:type="spellEnd"/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: Pueden implementarla gran variedad de dispositivos como sofás inteligentes, cortinas</w:t>
            </w:r>
          </w:p>
        </w:tc>
      </w:tr>
      <w:tr w:rsidR="006F1C15" w:rsidRPr="00305449">
        <w:trPr>
          <w:trHeight w:val="1085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radio desarrollado por 3GPP para habilitar servicios de alta gama para dispositivos móviles.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sz w:val="18"/>
                <w:szCs w:val="18"/>
                <w:lang w:val="es-CO"/>
              </w:rPr>
            </w:pPr>
            <w:r w:rsidRPr="00305449">
              <w:rPr>
                <w:rFonts w:ascii="Century Gothic" w:hAnsi="Century Gothic"/>
                <w:sz w:val="18"/>
                <w:szCs w:val="18"/>
                <w:lang w:val="es-CO"/>
              </w:rPr>
              <w:t>inteligentes, estudios inteligentes, entre otros.</w:t>
            </w:r>
          </w:p>
        </w:tc>
      </w:tr>
    </w:tbl>
    <w:p w:rsidR="006F1C15" w:rsidRPr="00305449" w:rsidRDefault="006F1C15" w:rsidP="00305449">
      <w:pPr>
        <w:spacing w:after="0" w:line="259" w:lineRule="auto"/>
        <w:ind w:left="0" w:firstLine="0"/>
        <w:jc w:val="center"/>
        <w:rPr>
          <w:lang w:val="es-CO"/>
        </w:rPr>
      </w:pPr>
    </w:p>
    <w:p w:rsidR="006F1C15" w:rsidRPr="00305449" w:rsidRDefault="006F1C15" w:rsidP="00305449">
      <w:pPr>
        <w:spacing w:after="1" w:line="259" w:lineRule="auto"/>
        <w:ind w:left="0" w:firstLine="0"/>
        <w:jc w:val="center"/>
        <w:rPr>
          <w:lang w:val="es-CO"/>
        </w:rPr>
      </w:pPr>
    </w:p>
    <w:p w:rsidR="006F1C15" w:rsidRPr="00305449" w:rsidRDefault="006F1C15" w:rsidP="00305449">
      <w:pPr>
        <w:spacing w:after="0" w:line="259" w:lineRule="auto"/>
        <w:ind w:left="0" w:firstLine="0"/>
        <w:jc w:val="center"/>
        <w:rPr>
          <w:rFonts w:ascii="Century Gothic" w:hAnsi="Century Gothic"/>
          <w:lang w:val="es-CO"/>
        </w:rPr>
      </w:pPr>
    </w:p>
    <w:p w:rsidR="006F1C15" w:rsidRPr="00305449" w:rsidRDefault="006F1C15" w:rsidP="00305449">
      <w:pPr>
        <w:spacing w:after="0" w:line="259" w:lineRule="auto"/>
        <w:ind w:left="0" w:firstLine="0"/>
        <w:jc w:val="center"/>
        <w:rPr>
          <w:rFonts w:ascii="Century Gothic" w:hAnsi="Century Gothic"/>
          <w:lang w:val="es-CO"/>
        </w:rPr>
      </w:pPr>
    </w:p>
    <w:tbl>
      <w:tblPr>
        <w:tblStyle w:val="TableGrid"/>
        <w:tblW w:w="10768" w:type="dxa"/>
        <w:tblInd w:w="110" w:type="dxa"/>
        <w:tblCellMar>
          <w:top w:w="12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4"/>
        <w:gridCol w:w="657"/>
        <w:gridCol w:w="6497"/>
      </w:tblGrid>
      <w:tr w:rsidR="006F1C15" w:rsidRPr="00305449">
        <w:trPr>
          <w:trHeight w:val="276"/>
        </w:trPr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proofErr w:type="spellStart"/>
            <w:r w:rsidRPr="00305449">
              <w:rPr>
                <w:rFonts w:ascii="Century Gothic" w:hAnsi="Century Gothic"/>
              </w:rPr>
              <w:t>Capa</w:t>
            </w:r>
            <w:proofErr w:type="spellEnd"/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08" w:firstLine="0"/>
              <w:jc w:val="center"/>
              <w:rPr>
                <w:rFonts w:ascii="Century Gothic" w:hAnsi="Century Gothic"/>
              </w:rPr>
            </w:pPr>
            <w:proofErr w:type="spellStart"/>
            <w:r w:rsidRPr="00305449">
              <w:rPr>
                <w:rFonts w:ascii="Century Gothic" w:hAnsi="Century Gothic"/>
              </w:rPr>
              <w:t>Función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3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proofErr w:type="spellStart"/>
            <w:r w:rsidRPr="00305449">
              <w:rPr>
                <w:rFonts w:ascii="Century Gothic" w:hAnsi="Century Gothic"/>
              </w:rPr>
              <w:t>Físico</w:t>
            </w:r>
            <w:proofErr w:type="spellEnd"/>
          </w:p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>9, 13, 17, 22, 23, 25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1. Solucionar problemas entre redes diferentes</w:t>
            </w:r>
          </w:p>
        </w:tc>
      </w:tr>
      <w:tr w:rsidR="006F1C15" w:rsidRPr="00305449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420" w:hanging="36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2. Responsable de soportar las aplicaciones de la red que usa el usuario</w:t>
            </w:r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>3. Sus PDU son frames</w:t>
            </w:r>
          </w:p>
        </w:tc>
      </w:tr>
      <w:tr w:rsidR="006F1C15" w:rsidRPr="00305449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4. </w:t>
            </w:r>
            <w:proofErr w:type="spellStart"/>
            <w:r w:rsidRPr="00305449">
              <w:rPr>
                <w:rFonts w:ascii="Century Gothic" w:hAnsi="Century Gothic"/>
              </w:rPr>
              <w:t>Direccionamiento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5. Puede encargarse de asuntos de seguridad</w:t>
            </w:r>
          </w:p>
        </w:tc>
      </w:tr>
      <w:tr w:rsidR="006F1C15" w:rsidRPr="00305449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420" w:hanging="36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6. Asegurarse que todos los segmentos de un mensaje lleguen correctamente al otro extremo</w:t>
            </w:r>
          </w:p>
        </w:tc>
      </w:tr>
      <w:tr w:rsidR="006F1C15" w:rsidRPr="00305449">
        <w:trPr>
          <w:trHeight w:val="276"/>
        </w:trPr>
        <w:tc>
          <w:tcPr>
            <w:tcW w:w="3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>Enlace</w:t>
            </w:r>
          </w:p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>3, 4, 11, 15, 21, 27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7. Administrar diferentes conexiones del usuario.</w:t>
            </w:r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8. Administración de conexión WAN a LAN</w:t>
            </w:r>
          </w:p>
        </w:tc>
      </w:tr>
      <w:tr w:rsidR="006F1C15" w:rsidRPr="00305449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420" w:hanging="36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9. Tiene que ver con la transmisión de bits por un canal de comunicaciones</w:t>
            </w:r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10. Sus PDU son </w:t>
            </w:r>
            <w:proofErr w:type="spellStart"/>
            <w:r w:rsidRPr="00305449">
              <w:rPr>
                <w:rFonts w:ascii="Century Gothic" w:hAnsi="Century Gothic"/>
              </w:rPr>
              <w:t>paquetes</w:t>
            </w:r>
            <w:proofErr w:type="spellEnd"/>
          </w:p>
        </w:tc>
      </w:tr>
      <w:tr w:rsidR="006F1C15" w:rsidRPr="00305449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420" w:hanging="36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 xml:space="preserve">11. Debe tomar un medio de transmisión bruto y transformarlo en </w:t>
            </w:r>
            <w:r w:rsidRPr="00305449">
              <w:rPr>
                <w:rFonts w:ascii="Century Gothic" w:hAnsi="Century Gothic"/>
                <w:lang w:val="es-CO"/>
              </w:rPr>
              <w:t>una línea que parezca libre de errores de transmisión</w:t>
            </w:r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12. Se ocupa de controlar el funcionamiento de la subred</w:t>
            </w:r>
          </w:p>
        </w:tc>
      </w:tr>
      <w:tr w:rsidR="006F1C15" w:rsidRPr="00305449">
        <w:trPr>
          <w:trHeight w:val="548"/>
        </w:trPr>
        <w:tc>
          <w:tcPr>
            <w:tcW w:w="3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>Red</w:t>
            </w:r>
          </w:p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>1, 4, 8, 10, 12, 26, 28, 30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420" w:hanging="36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13. En el diseño se debe garantizar que un 1 es un 1 en origen y en destino</w:t>
            </w:r>
          </w:p>
        </w:tc>
      </w:tr>
      <w:tr w:rsidR="006F1C15" w:rsidRPr="00305449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14. Sus PDU son </w:t>
            </w:r>
            <w:proofErr w:type="spellStart"/>
            <w:r w:rsidRPr="00305449">
              <w:rPr>
                <w:rFonts w:ascii="Century Gothic" w:hAnsi="Century Gothic"/>
              </w:rPr>
              <w:t>segmentos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 xml:space="preserve">15. Divide el mensaje en </w:t>
            </w:r>
            <w:proofErr w:type="spellStart"/>
            <w:r w:rsidRPr="00305449">
              <w:rPr>
                <w:rFonts w:ascii="Century Gothic" w:hAnsi="Century Gothic"/>
                <w:lang w:val="es-CO"/>
              </w:rPr>
              <w:t>frames</w:t>
            </w:r>
            <w:proofErr w:type="spellEnd"/>
            <w:r w:rsidRPr="00305449">
              <w:rPr>
                <w:rFonts w:ascii="Century Gothic" w:hAnsi="Century Gothic"/>
                <w:lang w:val="es-CO"/>
              </w:rPr>
              <w:t xml:space="preserve"> y coloca encabezado y fin</w:t>
            </w:r>
          </w:p>
        </w:tc>
      </w:tr>
      <w:tr w:rsidR="006F1C15" w:rsidRPr="00305449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16. Determina el tipo de servicio que va a prestar: OAC o NOAC</w:t>
            </w:r>
          </w:p>
        </w:tc>
      </w:tr>
      <w:tr w:rsidR="006F1C15" w:rsidRPr="00305449">
        <w:trPr>
          <w:trHeight w:val="276"/>
        </w:trPr>
        <w:tc>
          <w:tcPr>
            <w:tcW w:w="3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0" w:line="259" w:lineRule="auto"/>
              <w:ind w:left="2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17. </w:t>
            </w:r>
            <w:proofErr w:type="spellStart"/>
            <w:r w:rsidRPr="00305449">
              <w:rPr>
                <w:rFonts w:ascii="Century Gothic" w:hAnsi="Century Gothic"/>
              </w:rPr>
              <w:t>voltajes</w:t>
            </w:r>
            <w:proofErr w:type="spellEnd"/>
          </w:p>
        </w:tc>
      </w:tr>
      <w:tr w:rsidR="006F1C15" w:rsidRPr="00305449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420" w:hanging="36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 xml:space="preserve">18. Debe solucionar problemas de </w:t>
            </w:r>
            <w:proofErr w:type="spellStart"/>
            <w:r w:rsidRPr="00305449">
              <w:rPr>
                <w:rFonts w:ascii="Century Gothic" w:hAnsi="Century Gothic"/>
                <w:lang w:val="es-CO"/>
              </w:rPr>
              <w:t>frames</w:t>
            </w:r>
            <w:proofErr w:type="spellEnd"/>
            <w:r w:rsidRPr="00305449">
              <w:rPr>
                <w:rFonts w:ascii="Century Gothic" w:hAnsi="Century Gothic"/>
                <w:lang w:val="es-CO"/>
              </w:rPr>
              <w:t xml:space="preserve"> dañados, perdidos o duplicados</w:t>
            </w:r>
          </w:p>
        </w:tc>
      </w:tr>
      <w:tr w:rsidR="006F1C15" w:rsidRPr="00305449">
        <w:trPr>
          <w:trHeight w:val="284"/>
        </w:trPr>
        <w:tc>
          <w:tcPr>
            <w:tcW w:w="3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proofErr w:type="spellStart"/>
            <w:r w:rsidRPr="00305449">
              <w:rPr>
                <w:rFonts w:ascii="Century Gothic" w:hAnsi="Century Gothic"/>
              </w:rPr>
              <w:t>Transporte</w:t>
            </w:r>
            <w:proofErr w:type="spellEnd"/>
          </w:p>
          <w:p w:rsidR="006F1C15" w:rsidRPr="00305449" w:rsidRDefault="009C5C11" w:rsidP="00305449">
            <w:pPr>
              <w:spacing w:after="0" w:line="259" w:lineRule="auto"/>
              <w:ind w:left="11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>4, 5, 6, 7, 14, 16, 19, 10, 21, 24, 27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 xml:space="preserve">19. Mantiene la </w:t>
            </w:r>
            <w:r w:rsidR="00305449" w:rsidRPr="00305449">
              <w:rPr>
                <w:rFonts w:ascii="Century Gothic" w:hAnsi="Century Gothic"/>
                <w:lang w:val="es-CO"/>
              </w:rPr>
              <w:t>conexión extrema</w:t>
            </w:r>
            <w:r w:rsidRPr="00305449">
              <w:rPr>
                <w:rFonts w:ascii="Century Gothic" w:hAnsi="Century Gothic"/>
                <w:lang w:val="es-CO"/>
              </w:rPr>
              <w:t xml:space="preserve"> a extremo</w:t>
            </w:r>
          </w:p>
        </w:tc>
      </w:tr>
      <w:tr w:rsidR="006F1C15" w:rsidRPr="00305449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20. Control de </w:t>
            </w:r>
            <w:proofErr w:type="spellStart"/>
            <w:r w:rsidRPr="00305449">
              <w:rPr>
                <w:rFonts w:ascii="Century Gothic" w:hAnsi="Century Gothic"/>
              </w:rPr>
              <w:t>congestión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21. Manejo de buffers para guardar de manera temporal datos</w:t>
            </w:r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22. </w:t>
            </w:r>
            <w:proofErr w:type="spellStart"/>
            <w:r w:rsidRPr="00305449">
              <w:rPr>
                <w:rFonts w:ascii="Century Gothic" w:hAnsi="Century Gothic"/>
              </w:rPr>
              <w:t>Quién</w:t>
            </w:r>
            <w:proofErr w:type="spellEnd"/>
            <w:r w:rsidRPr="00305449">
              <w:rPr>
                <w:rFonts w:ascii="Century Gothic" w:hAnsi="Century Gothic"/>
              </w:rPr>
              <w:t xml:space="preserve"> </w:t>
            </w:r>
            <w:proofErr w:type="spellStart"/>
            <w:r w:rsidRPr="00305449">
              <w:rPr>
                <w:rFonts w:ascii="Century Gothic" w:hAnsi="Century Gothic"/>
              </w:rPr>
              <w:t>habla</w:t>
            </w:r>
            <w:proofErr w:type="spellEnd"/>
            <w:r w:rsidRPr="00305449">
              <w:rPr>
                <w:rFonts w:ascii="Century Gothic" w:hAnsi="Century Gothic"/>
              </w:rPr>
              <w:t xml:space="preserve"> primero</w:t>
            </w:r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23. </w:t>
            </w:r>
            <w:proofErr w:type="spellStart"/>
            <w:r w:rsidRPr="00305449">
              <w:rPr>
                <w:rFonts w:ascii="Century Gothic" w:hAnsi="Century Gothic"/>
              </w:rPr>
              <w:t>Dúplex</w:t>
            </w:r>
            <w:proofErr w:type="spellEnd"/>
            <w:r w:rsidRPr="00305449">
              <w:rPr>
                <w:rFonts w:ascii="Century Gothic" w:hAnsi="Century Gothic"/>
              </w:rPr>
              <w:t xml:space="preserve">, simplex, </w:t>
            </w:r>
            <w:proofErr w:type="spellStart"/>
            <w:r w:rsidRPr="00305449">
              <w:rPr>
                <w:rFonts w:ascii="Century Gothic" w:hAnsi="Century Gothic"/>
              </w:rPr>
              <w:t>halfduplex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24. Inicio y cierre de la conexión entre transmisor y receptor</w:t>
            </w:r>
          </w:p>
        </w:tc>
      </w:tr>
      <w:tr w:rsidR="006F1C15" w:rsidRPr="00305449">
        <w:trPr>
          <w:trHeight w:val="276"/>
        </w:trPr>
        <w:tc>
          <w:tcPr>
            <w:tcW w:w="3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110" w:right="2228" w:firstLine="0"/>
              <w:jc w:val="center"/>
              <w:rPr>
                <w:rFonts w:ascii="Century Gothic" w:hAnsi="Century Gothic"/>
              </w:rPr>
            </w:pPr>
            <w:proofErr w:type="spellStart"/>
            <w:r w:rsidRPr="00305449">
              <w:rPr>
                <w:rFonts w:ascii="Century Gothic" w:hAnsi="Century Gothic"/>
              </w:rPr>
              <w:t>Aplicación</w:t>
            </w:r>
            <w:proofErr w:type="spellEnd"/>
            <w:r w:rsidRPr="00305449">
              <w:rPr>
                <w:rFonts w:ascii="Century Gothic" w:hAnsi="Century Gothic"/>
              </w:rPr>
              <w:t xml:space="preserve"> 2, 5, 29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25. Depende del medio de transmisión</w:t>
            </w:r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  <w:lang w:val="es-CO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26. </w:t>
            </w:r>
            <w:proofErr w:type="spellStart"/>
            <w:r w:rsidRPr="00305449">
              <w:rPr>
                <w:rFonts w:ascii="Century Gothic" w:hAnsi="Century Gothic"/>
              </w:rPr>
              <w:t>Facturación</w:t>
            </w:r>
            <w:proofErr w:type="spellEnd"/>
            <w:r w:rsidRPr="00305449">
              <w:rPr>
                <w:rFonts w:ascii="Century Gothic" w:hAnsi="Century Gothic"/>
              </w:rPr>
              <w:t xml:space="preserve"> a los </w:t>
            </w:r>
            <w:proofErr w:type="spellStart"/>
            <w:r w:rsidRPr="00305449">
              <w:rPr>
                <w:rFonts w:ascii="Century Gothic" w:hAnsi="Century Gothic"/>
              </w:rPr>
              <w:t>usuarios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27. </w:t>
            </w:r>
            <w:proofErr w:type="spellStart"/>
            <w:r w:rsidRPr="00305449">
              <w:rPr>
                <w:rFonts w:ascii="Century Gothic" w:hAnsi="Century Gothic"/>
              </w:rPr>
              <w:t>Hace</w:t>
            </w:r>
            <w:proofErr w:type="spellEnd"/>
            <w:r w:rsidRPr="00305449">
              <w:rPr>
                <w:rFonts w:ascii="Century Gothic" w:hAnsi="Century Gothic"/>
              </w:rPr>
              <w:t xml:space="preserve"> control de </w:t>
            </w:r>
            <w:proofErr w:type="spellStart"/>
            <w:r w:rsidRPr="00305449">
              <w:rPr>
                <w:rFonts w:ascii="Century Gothic" w:hAnsi="Century Gothic"/>
              </w:rPr>
              <w:t>flujo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28. </w:t>
            </w:r>
            <w:proofErr w:type="spellStart"/>
            <w:r w:rsidRPr="00305449">
              <w:rPr>
                <w:rFonts w:ascii="Century Gothic" w:hAnsi="Century Gothic"/>
              </w:rPr>
              <w:t>Manejo</w:t>
            </w:r>
            <w:proofErr w:type="spellEnd"/>
            <w:r w:rsidRPr="00305449">
              <w:rPr>
                <w:rFonts w:ascii="Century Gothic" w:hAnsi="Century Gothic"/>
              </w:rPr>
              <w:t xml:space="preserve"> de </w:t>
            </w:r>
            <w:proofErr w:type="spellStart"/>
            <w:r w:rsidRPr="00305449">
              <w:rPr>
                <w:rFonts w:ascii="Century Gothic" w:hAnsi="Century Gothic"/>
              </w:rPr>
              <w:t>rutas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</w:rPr>
            </w:pPr>
            <w:r w:rsidRPr="00305449">
              <w:rPr>
                <w:rFonts w:ascii="Century Gothic" w:hAnsi="Century Gothic"/>
              </w:rPr>
              <w:t xml:space="preserve">29. Sus PDU son </w:t>
            </w:r>
            <w:proofErr w:type="spellStart"/>
            <w:r w:rsidRPr="00305449">
              <w:rPr>
                <w:rFonts w:ascii="Century Gothic" w:hAnsi="Century Gothic"/>
              </w:rPr>
              <w:t>mensajes</w:t>
            </w:r>
            <w:proofErr w:type="spellEnd"/>
          </w:p>
        </w:tc>
      </w:tr>
      <w:tr w:rsidR="006F1C15" w:rsidRPr="00305449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1C15" w:rsidRPr="00305449" w:rsidRDefault="006F1C15" w:rsidP="00305449">
            <w:pPr>
              <w:spacing w:after="160" w:line="259" w:lineRule="auto"/>
              <w:ind w:left="0" w:firstLine="0"/>
              <w:jc w:val="center"/>
              <w:rPr>
                <w:rFonts w:ascii="Century Gothic" w:hAnsi="Century Gothic"/>
              </w:rPr>
            </w:pP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C15" w:rsidRPr="00305449" w:rsidRDefault="009C5C11" w:rsidP="00305449">
            <w:pPr>
              <w:spacing w:after="0" w:line="259" w:lineRule="auto"/>
              <w:ind w:left="60" w:firstLine="0"/>
              <w:jc w:val="center"/>
              <w:rPr>
                <w:rFonts w:ascii="Century Gothic" w:hAnsi="Century Gothic"/>
                <w:lang w:val="es-CO"/>
              </w:rPr>
            </w:pPr>
            <w:r w:rsidRPr="00305449">
              <w:rPr>
                <w:rFonts w:ascii="Century Gothic" w:hAnsi="Century Gothic"/>
                <w:lang w:val="es-CO"/>
              </w:rPr>
              <w:t>30. Se encarga de la fragmentación</w:t>
            </w:r>
          </w:p>
        </w:tc>
      </w:tr>
    </w:tbl>
    <w:p w:rsidR="006F1C15" w:rsidRPr="00305449" w:rsidRDefault="006F1C15" w:rsidP="00305449">
      <w:pPr>
        <w:spacing w:after="0" w:line="259" w:lineRule="auto"/>
        <w:ind w:left="0" w:firstLine="0"/>
        <w:jc w:val="center"/>
        <w:rPr>
          <w:rFonts w:ascii="Century Gothic" w:hAnsi="Century Gothic"/>
          <w:lang w:val="es-CO"/>
        </w:rPr>
      </w:pPr>
      <w:bookmarkStart w:id="0" w:name="_GoBack"/>
      <w:bookmarkEnd w:id="0"/>
    </w:p>
    <w:sectPr w:rsidR="006F1C15" w:rsidRPr="00305449">
      <w:pgSz w:w="12240" w:h="15840"/>
      <w:pgMar w:top="684" w:right="859" w:bottom="363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A0025"/>
    <w:multiLevelType w:val="hybridMultilevel"/>
    <w:tmpl w:val="85685ECE"/>
    <w:lvl w:ilvl="0" w:tplc="A3C8A7E2">
      <w:start w:val="1"/>
      <w:numFmt w:val="decimal"/>
      <w:lvlText w:val="%1."/>
      <w:lvlJc w:val="left"/>
      <w:pPr>
        <w:ind w:left="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4A806">
      <w:start w:val="2"/>
      <w:numFmt w:val="lowerLetter"/>
      <w:lvlText w:val="%2.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EA0560">
      <w:start w:val="1"/>
      <w:numFmt w:val="bullet"/>
      <w:lvlText w:val="•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E555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E91E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22F19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CCD8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4274A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EA2CB8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C15"/>
    <w:rsid w:val="00305449"/>
    <w:rsid w:val="006F1C15"/>
    <w:rsid w:val="009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CED7"/>
  <w15:docId w15:val="{04200CE4-1D59-4924-898B-6C8C1CB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16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PATRICIA SANTIAGO CELY</dc:creator>
  <cp:keywords/>
  <cp:lastModifiedBy>Brayan Burgos</cp:lastModifiedBy>
  <cp:revision>3</cp:revision>
  <dcterms:created xsi:type="dcterms:W3CDTF">2020-08-30T18:28:00Z</dcterms:created>
  <dcterms:modified xsi:type="dcterms:W3CDTF">2020-08-30T18:28:00Z</dcterms:modified>
</cp:coreProperties>
</file>