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F3864"/>
          <w:sz w:val="44"/>
          <w:szCs w:val="44"/>
        </w:rPr>
        <w:t xml:space="preserve">Product Requirements Document</w:t>
      </w:r>
    </w:p>
    <w:p>
      <w:pPr>
        <w:spacing w:after="480"/>
        <w:jc w:val="center"/>
      </w:pPr>
      <w:r>
        <w:rPr>
          <w:rFonts w:ascii="Arial" w:cs="Arial" w:eastAsia="Arial" w:hAnsi="Arial"/>
          <w:color w:val="2E75B6"/>
          <w:sz w:val="36"/>
          <w:szCs w:val="36"/>
        </w:rPr>
        <w:t xml:space="preserve">HIPAA/Cybersecurity LeadGen System</w:t>
      </w:r>
    </w:p>
    <w:p>
      <w:pPr>
        <w:pStyle w:val="Heading1"/>
      </w:pPr>
      <w:r>
        <w:rPr>
          <w:rFonts w:ascii="Arial" w:cs="Arial" w:eastAsia="Arial" w:hAnsi="Arial"/>
          <w:b/>
          <w:bCs/>
          <w:sz w:val="32"/>
          <w:szCs w:val="32"/>
        </w:rPr>
        <w:t xml:space="preserve">1. Product Vision</w:t>
      </w:r>
    </w:p>
    <w:p>
      <w:pPr>
        <w:spacing w:after="120"/>
      </w:pPr>
      <w:r>
        <w:rPr>
          <w:rFonts w:ascii="Arial" w:cs="Arial" w:eastAsia="Arial" w:hAnsi="Arial"/>
          <w:sz w:val="24"/>
          <w:szCs w:val="24"/>
        </w:rPr>
        <w:t xml:space="preserve">To create an automated prospecting engine that identifies healthcare organizations in “high-intent” phases—specifically those responding to security incidents, regulatory changes, or administrative growth—to position HIPAA compliance and cybersecurity training services at the moment of highest need.</w:t>
      </w:r>
    </w:p>
    <w:p>
      <w:pPr>
        <w:spacing w:after="120"/>
      </w:pPr>
      <w:r>
        <w:t xml:space="preserve"/>
      </w:r>
    </w:p>
    <w:p>
      <w:pPr>
        <w:pStyle w:val="Heading1"/>
      </w:pPr>
      <w:r>
        <w:rPr>
          <w:rFonts w:ascii="Arial" w:cs="Arial" w:eastAsia="Arial" w:hAnsi="Arial"/>
          <w:b/>
          <w:bCs/>
          <w:sz w:val="32"/>
          <w:szCs w:val="32"/>
        </w:rPr>
        <w:t xml:space="preserve">2. The Information Flow (Logical Blocks)</w:t>
      </w:r>
    </w:p>
    <w:p>
      <w:pPr>
        <w:spacing w:after="120"/>
      </w:pPr>
      <w:r>
        <w:rPr>
          <w:rFonts w:ascii="Arial" w:cs="Arial" w:eastAsia="Arial" w:hAnsi="Arial"/>
          <w:sz w:val="24"/>
          <w:szCs w:val="24"/>
        </w:rPr>
        <w:t xml:space="preserve">The system is defined by four distinct phases of data evolution:</w:t>
      </w:r>
    </w:p>
    <w:p>
      <w:pPr>
        <w:spacing w:after="120"/>
      </w:pPr>
      <w:r>
        <w:t xml:space="preserve"/>
      </w:r>
    </w:p>
    <w:p>
      <w:pPr>
        <w:pStyle w:val="Heading2"/>
      </w:pPr>
      <w:r>
        <w:rPr>
          <w:rFonts w:ascii="Arial" w:cs="Arial" w:eastAsia="Arial" w:hAnsi="Arial"/>
          <w:b/>
          <w:bCs/>
          <w:sz w:val="28"/>
          <w:szCs w:val="28"/>
        </w:rPr>
        <w:t xml:space="preserve">Block 1: Surveillance (The “Listeners”)</w:t>
      </w:r>
    </w:p>
    <w:p>
      <w:pPr>
        <w:pStyle w:val="ListParagraph"/>
        <w:numPr>
          <w:ilvl w:val="0"/>
          <w:numId w:val="2"/>
        </w:numPr>
        <w:spacing w:after="80"/>
      </w:pPr>
      <w:r>
        <w:rPr>
          <w:rFonts w:ascii="Arial" w:cs="Arial" w:eastAsia="Arial" w:hAnsi="Arial"/>
          <w:sz w:val="24"/>
          <w:szCs w:val="24"/>
        </w:rPr>
        <w:t xml:space="preserve">Purpose: Constant monitoring of the digital landscape for “Trigger Events.”</w:t>
      </w:r>
    </w:p>
    <w:p>
      <w:pPr>
        <w:pStyle w:val="ListParagraph"/>
        <w:numPr>
          <w:ilvl w:val="0"/>
          <w:numId w:val="2"/>
        </w:numPr>
        <w:spacing w:after="80"/>
      </w:pPr>
      <w:r>
        <w:rPr>
          <w:rFonts w:ascii="Arial" w:cs="Arial" w:eastAsia="Arial" w:hAnsi="Arial"/>
          <w:sz w:val="24"/>
          <w:szCs w:val="24"/>
        </w:rPr>
        <w:t xml:space="preserve">Input: Publicly available news, social sentiment, and regulatory postings.</w:t>
      </w:r>
    </w:p>
    <w:p>
      <w:pPr>
        <w:pStyle w:val="ListParagraph"/>
        <w:numPr>
          <w:ilvl w:val="0"/>
          <w:numId w:val="2"/>
        </w:numPr>
        <w:spacing w:after="80"/>
      </w:pPr>
      <w:r>
        <w:rPr>
          <w:rFonts w:ascii="Arial" w:cs="Arial" w:eastAsia="Arial" w:hAnsi="Arial"/>
          <w:sz w:val="24"/>
          <w:szCs w:val="24"/>
        </w:rPr>
        <w:t xml:space="preserve">Requirements: Must scan for keywords related to medical data breaches, OCR (Office for Civil Rights) settlements, and new medical facility registrations.</w:t>
      </w:r>
    </w:p>
    <w:p>
      <w:pPr>
        <w:spacing w:after="120"/>
      </w:pPr>
      <w:r>
        <w:t xml:space="preserve"/>
      </w:r>
    </w:p>
    <w:p>
      <w:pPr>
        <w:pStyle w:val="Heading2"/>
      </w:pPr>
      <w:r>
        <w:rPr>
          <w:rFonts w:ascii="Arial" w:cs="Arial" w:eastAsia="Arial" w:hAnsi="Arial"/>
          <w:b/>
          <w:bCs/>
          <w:sz w:val="28"/>
          <w:szCs w:val="28"/>
        </w:rPr>
        <w:t xml:space="preserve">Block 2: Distillation (The “Filter”)</w:t>
      </w:r>
    </w:p>
    <w:p>
      <w:pPr>
        <w:pStyle w:val="ListParagraph"/>
        <w:numPr>
          <w:ilvl w:val="0"/>
          <w:numId w:val="2"/>
        </w:numPr>
        <w:spacing w:after="80"/>
      </w:pPr>
      <w:r>
        <w:rPr>
          <w:rFonts w:ascii="Arial" w:cs="Arial" w:eastAsia="Arial" w:hAnsi="Arial"/>
          <w:sz w:val="24"/>
          <w:szCs w:val="24"/>
        </w:rPr>
        <w:t xml:space="preserve">Purpose: To separate high-value prospects from general noise.</w:t>
      </w:r>
    </w:p>
    <w:p>
      <w:pPr>
        <w:pStyle w:val="ListParagraph"/>
        <w:numPr>
          <w:ilvl w:val="0"/>
          <w:numId w:val="2"/>
        </w:numPr>
        <w:spacing w:after="80"/>
      </w:pPr>
      <w:r>
        <w:rPr>
          <w:rFonts w:ascii="Arial" w:cs="Arial" w:eastAsia="Arial" w:hAnsi="Arial"/>
          <w:sz w:val="24"/>
          <w:szCs w:val="24"/>
        </w:rPr>
        <w:t xml:space="preserve">Input: Raw snippets and URLs from the Surveillance block.</w:t>
      </w:r>
    </w:p>
    <w:p>
      <w:pPr>
        <w:pStyle w:val="ListParagraph"/>
        <w:numPr>
          <w:ilvl w:val="0"/>
          <w:numId w:val="2"/>
        </w:numPr>
        <w:spacing w:after="80"/>
      </w:pPr>
      <w:r>
        <w:rPr>
          <w:rFonts w:ascii="Arial" w:cs="Arial" w:eastAsia="Arial" w:hAnsi="Arial"/>
          <w:sz w:val="24"/>
          <w:szCs w:val="24"/>
        </w:rPr>
        <w:t xml:space="preserve">Logic Flow:</w:t>
      </w:r>
    </w:p>
    <w:p>
      <w:pPr>
        <w:pStyle w:val="ListParagraph"/>
        <w:numPr>
          <w:ilvl w:val="0"/>
          <w:numId w:val="3"/>
        </w:numPr>
        <w:spacing w:after="60"/>
      </w:pPr>
      <w:r>
        <w:rPr>
          <w:rFonts w:ascii="Arial" w:cs="Arial" w:eastAsia="Arial" w:hAnsi="Arial"/>
          <w:sz w:val="22"/>
          <w:szCs w:val="22"/>
        </w:rPr>
        <w:t xml:space="preserve">Context Check: Does this involve a healthcare entity?</w:t>
      </w:r>
    </w:p>
    <w:p>
      <w:pPr>
        <w:pStyle w:val="ListParagraph"/>
        <w:numPr>
          <w:ilvl w:val="0"/>
          <w:numId w:val="3"/>
        </w:numPr>
        <w:spacing w:after="60"/>
      </w:pPr>
      <w:r>
        <w:rPr>
          <w:rFonts w:ascii="Arial" w:cs="Arial" w:eastAsia="Arial" w:hAnsi="Arial"/>
          <w:sz w:val="22"/>
          <w:szCs w:val="22"/>
        </w:rPr>
        <w:t xml:space="preserve">Urgency Score: Is this a current event (within the last 7 days)?</w:t>
      </w:r>
    </w:p>
    <w:p>
      <w:pPr>
        <w:pStyle w:val="ListParagraph"/>
        <w:numPr>
          <w:ilvl w:val="0"/>
          <w:numId w:val="3"/>
        </w:numPr>
        <w:spacing w:after="60"/>
      </w:pPr>
      <w:r>
        <w:rPr>
          <w:rFonts w:ascii="Arial" w:cs="Arial" w:eastAsia="Arial" w:hAnsi="Arial"/>
          <w:sz w:val="22"/>
          <w:szCs w:val="22"/>
        </w:rPr>
        <w:t xml:space="preserve">Lead Extraction: Identify the Organization Name and the specific “Pain Point” (e.g., “Just suffered a ransomware attack”).</w:t>
      </w:r>
    </w:p>
    <w:p>
      <w:pPr>
        <w:spacing w:after="120"/>
      </w:pPr>
      <w:r>
        <w:t xml:space="preserve"/>
      </w:r>
    </w:p>
    <w:p>
      <w:pPr>
        <w:pStyle w:val="Heading2"/>
      </w:pPr>
      <w:r>
        <w:rPr>
          <w:rFonts w:ascii="Arial" w:cs="Arial" w:eastAsia="Arial" w:hAnsi="Arial"/>
          <w:b/>
          <w:bCs/>
          <w:sz w:val="28"/>
          <w:szCs w:val="28"/>
        </w:rPr>
        <w:t xml:space="preserve">Block 3: Consolidation (The “Ledger”)</w:t>
      </w:r>
    </w:p>
    <w:p>
      <w:pPr>
        <w:pStyle w:val="ListParagraph"/>
        <w:numPr>
          <w:ilvl w:val="0"/>
          <w:numId w:val="2"/>
        </w:numPr>
        <w:spacing w:after="80"/>
      </w:pPr>
      <w:r>
        <w:rPr>
          <w:rFonts w:ascii="Arial" w:cs="Arial" w:eastAsia="Arial" w:hAnsi="Arial"/>
          <w:sz w:val="24"/>
          <w:szCs w:val="24"/>
        </w:rPr>
        <w:t xml:space="preserve">Purpose: To maintain a clean, deduplicated historical record of leads.</w:t>
      </w:r>
    </w:p>
    <w:p>
      <w:pPr>
        <w:pStyle w:val="ListParagraph"/>
        <w:numPr>
          <w:ilvl w:val="0"/>
          <w:numId w:val="2"/>
        </w:numPr>
        <w:spacing w:after="80"/>
      </w:pPr>
      <w:r>
        <w:rPr>
          <w:rFonts w:ascii="Arial" w:cs="Arial" w:eastAsia="Arial" w:hAnsi="Arial"/>
          <w:sz w:val="24"/>
          <w:szCs w:val="24"/>
        </w:rPr>
        <w:t xml:space="preserve">Input: Distilled lead objects.</w:t>
      </w:r>
    </w:p>
    <w:p>
      <w:pPr>
        <w:pStyle w:val="ListParagraph"/>
        <w:numPr>
          <w:ilvl w:val="0"/>
          <w:numId w:val="2"/>
        </w:numPr>
        <w:spacing w:after="80"/>
      </w:pPr>
      <w:r>
        <w:rPr>
          <w:rFonts w:ascii="Arial" w:cs="Arial" w:eastAsia="Arial" w:hAnsi="Arial"/>
          <w:sz w:val="24"/>
          <w:szCs w:val="24"/>
        </w:rPr>
        <w:t xml:space="preserve">Requirements: Ensure no organization is flagged twice for the same event. Maintain a timestamped record of when the lead was first identified.</w:t>
      </w:r>
    </w:p>
    <w:p>
      <w:pPr>
        <w:spacing w:after="120"/>
      </w:pPr>
      <w:r>
        <w:t xml:space="preserve"/>
      </w:r>
    </w:p>
    <w:p>
      <w:pPr>
        <w:pStyle w:val="Heading2"/>
      </w:pPr>
      <w:r>
        <w:rPr>
          <w:rFonts w:ascii="Arial" w:cs="Arial" w:eastAsia="Arial" w:hAnsi="Arial"/>
          <w:b/>
          <w:bCs/>
          <w:sz w:val="28"/>
          <w:szCs w:val="28"/>
        </w:rPr>
        <w:t xml:space="preserve">Block 4: Presentation (The “Dashboard”)</w:t>
      </w:r>
    </w:p>
    <w:p>
      <w:pPr>
        <w:pStyle w:val="ListParagraph"/>
        <w:numPr>
          <w:ilvl w:val="0"/>
          <w:numId w:val="2"/>
        </w:numPr>
        <w:spacing w:after="80"/>
      </w:pPr>
      <w:r>
        <w:rPr>
          <w:rFonts w:ascii="Arial" w:cs="Arial" w:eastAsia="Arial" w:hAnsi="Arial"/>
          <w:sz w:val="24"/>
          <w:szCs w:val="24"/>
        </w:rPr>
        <w:t xml:space="preserve">Purpose: To provide a human-readable interface for the sales team to act on the data.</w:t>
      </w:r>
    </w:p>
    <w:p>
      <w:pPr>
        <w:pStyle w:val="ListParagraph"/>
        <w:numPr>
          <w:ilvl w:val="0"/>
          <w:numId w:val="2"/>
        </w:numPr>
        <w:spacing w:after="80"/>
      </w:pPr>
      <w:r>
        <w:rPr>
          <w:rFonts w:ascii="Arial" w:cs="Arial" w:eastAsia="Arial" w:hAnsi="Arial"/>
          <w:sz w:val="24"/>
          <w:szCs w:val="24"/>
        </w:rPr>
        <w:t xml:space="preserve">Input: The Ledger data.</w:t>
      </w:r>
    </w:p>
    <w:p>
      <w:pPr>
        <w:pStyle w:val="ListParagraph"/>
        <w:numPr>
          <w:ilvl w:val="0"/>
          <w:numId w:val="2"/>
        </w:numPr>
        <w:spacing w:after="80"/>
      </w:pPr>
      <w:r>
        <w:rPr>
          <w:rFonts w:ascii="Arial" w:cs="Arial" w:eastAsia="Arial" w:hAnsi="Arial"/>
          <w:sz w:val="24"/>
          <w:szCs w:val="24"/>
        </w:rPr>
        <w:t xml:space="preserve">Requirements:</w:t>
      </w:r>
    </w:p>
    <w:p>
      <w:pPr>
        <w:pStyle w:val="ListParagraph"/>
        <w:numPr>
          <w:ilvl w:val="0"/>
          <w:numId w:val="3"/>
        </w:numPr>
        <w:spacing w:after="60"/>
      </w:pPr>
      <w:r>
        <w:rPr>
          <w:rFonts w:ascii="Arial" w:cs="Arial" w:eastAsia="Arial" w:hAnsi="Arial"/>
          <w:sz w:val="22"/>
          <w:szCs w:val="22"/>
        </w:rPr>
        <w:t xml:space="preserve">Display leads in an organized list.</w:t>
      </w:r>
    </w:p>
    <w:p>
      <w:pPr>
        <w:pStyle w:val="ListParagraph"/>
        <w:numPr>
          <w:ilvl w:val="0"/>
          <w:numId w:val="3"/>
        </w:numPr>
        <w:spacing w:after="60"/>
      </w:pPr>
      <w:r>
        <w:rPr>
          <w:rFonts w:ascii="Arial" w:cs="Arial" w:eastAsia="Arial" w:hAnsi="Arial"/>
          <w:sz w:val="22"/>
          <w:szCs w:val="22"/>
        </w:rPr>
        <w:t xml:space="preserve">Provide a manual trigger to start a new “Surveillance” cycle.</w:t>
      </w:r>
    </w:p>
    <w:p>
      <w:pPr>
        <w:pStyle w:val="ListParagraph"/>
        <w:numPr>
          <w:ilvl w:val="0"/>
          <w:numId w:val="3"/>
        </w:numPr>
        <w:spacing w:after="60"/>
      </w:pPr>
      <w:r>
        <w:rPr>
          <w:rFonts w:ascii="Arial" w:cs="Arial" w:eastAsia="Arial" w:hAnsi="Arial"/>
          <w:sz w:val="22"/>
          <w:szCs w:val="22"/>
        </w:rPr>
        <w:t xml:space="preserve">Allow the user to export the lead list for use in email marketing software.</w:t>
      </w:r>
    </w:p>
    <w:p>
      <w:pPr>
        <w:spacing w:after="120"/>
      </w:pPr>
      <w:r>
        <w:t xml:space="preserve"/>
      </w:r>
    </w:p>
    <w:p>
      <w:pPr>
        <w:pStyle w:val="Heading1"/>
      </w:pPr>
      <w:r>
        <w:rPr>
          <w:rFonts w:ascii="Arial" w:cs="Arial" w:eastAsia="Arial" w:hAnsi="Arial"/>
          <w:b/>
          <w:bCs/>
          <w:sz w:val="32"/>
          <w:szCs w:val="32"/>
        </w:rPr>
        <w:t xml:space="preserve">3.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Requirement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Multi-Source Aggregation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system must ingest information from at least four distinct categories of web 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Standardized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Regardless of the source, all data must be converted into a uniform internal format.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Lookback Control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Users must be able to define how many days of history the system should scan (e.g., "Find leads from the last 7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On-Demand Refresh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user must be able to trigger a data refresh via the interface.</w:t>
            </w:r>
          </w:p>
        </w:tc>
      </w:tr>
    </w:tbl>
    <w:p>
      <w:pPr>
        <w:spacing w:after="120"/>
      </w:pPr>
      <w:r>
        <w:t xml:space="preserve"/>
      </w:r>
    </w:p>
    <w:p>
      <w:pPr>
        <w:pStyle w:val="Heading2"/>
      </w:pPr>
      <w:r>
        <w:rPr>
          <w:rFonts w:ascii="Arial" w:cs="Arial" w:eastAsia="Arial" w:hAnsi="Arial"/>
          <w:b/>
          <w:bCs/>
          <w:sz w:val="28"/>
          <w:szCs w:val="28"/>
        </w:rPr>
        <w:t xml:space="preserve">3b. Outbound Contact Information</w:t>
      </w:r>
    </w:p>
    <w:p>
      <w:pPr>
        <w:spacing w:after="120"/>
      </w:pPr>
      <w:r>
        <w:rPr>
          <w:rFonts w:ascii="Arial" w:cs="Arial" w:eastAsia="Arial" w:hAnsi="Arial"/>
          <w:sz w:val="24"/>
          <w:szCs w:val="24"/>
        </w:rPr>
        <w:t xml:space="preserve">For leads selected by the user, the system shall conduct automated web research to identify key personnel and their direct contact information at the target organization. This enables the sales team to reach decision-makers directly rather than relying on generic inbound channels.</w:t>
      </w:r>
    </w:p>
    <w:p>
      <w:pPr>
        <w:spacing w:after="120"/>
      </w:pPr>
      <w:r>
        <w:t xml:space="preserve"/>
      </w:r>
    </w:p>
    <w:p>
      <w:pPr>
        <w:pStyle w:val="Heading3"/>
      </w:pPr>
      <w:r>
        <w:rPr>
          <w:rFonts w:ascii="Arial" w:cs="Arial" w:eastAsia="Arial" w:hAnsi="Arial"/>
          <w:b/>
          <w:bCs/>
          <w:sz w:val="26"/>
          <w:szCs w:val="26"/>
        </w:rPr>
        <w:t xml:space="preserve">Target Personnel Profiles</w:t>
      </w:r>
    </w:p>
    <w:p>
      <w:pPr>
        <w:spacing w:after="120"/>
      </w:pPr>
      <w:r>
        <w:rPr>
          <w:rFonts w:ascii="Arial" w:cs="Arial" w:eastAsia="Arial" w:hAnsi="Arial"/>
          <w:sz w:val="24"/>
          <w:szCs w:val="24"/>
        </w:rPr>
        <w:t xml:space="preserve">Key personnel are defined as individuals likely to hold positions of seniority with decision-making authority over compliance, operations, or administration. Target job titles include, but are not limited to:</w:t>
      </w:r>
    </w:p>
    <w:p>
      <w:pPr>
        <w:pStyle w:val="ListParagraph"/>
        <w:numPr>
          <w:ilvl w:val="0"/>
          <w:numId w:val="2"/>
        </w:numPr>
        <w:spacing w:after="80"/>
      </w:pPr>
      <w:r>
        <w:rPr>
          <w:rFonts w:ascii="Arial" w:cs="Arial" w:eastAsia="Arial" w:hAnsi="Arial"/>
          <w:sz w:val="24"/>
          <w:szCs w:val="24"/>
        </w:rPr>
        <w:t xml:space="preserve">Head of Compliance / Chief Compliance Officer (CCO)</w:t>
      </w:r>
    </w:p>
    <w:p>
      <w:pPr>
        <w:pStyle w:val="ListParagraph"/>
        <w:numPr>
          <w:ilvl w:val="0"/>
          <w:numId w:val="2"/>
        </w:numPr>
        <w:spacing w:after="80"/>
      </w:pPr>
      <w:r>
        <w:rPr>
          <w:rFonts w:ascii="Arial" w:cs="Arial" w:eastAsia="Arial" w:hAnsi="Arial"/>
          <w:sz w:val="24"/>
          <w:szCs w:val="24"/>
        </w:rPr>
        <w:t xml:space="preserve">Privacy Officer / HIPAA Privacy Officer</w:t>
      </w:r>
    </w:p>
    <w:p>
      <w:pPr>
        <w:pStyle w:val="ListParagraph"/>
        <w:numPr>
          <w:ilvl w:val="0"/>
          <w:numId w:val="2"/>
        </w:numPr>
        <w:spacing w:after="80"/>
      </w:pPr>
      <w:r>
        <w:rPr>
          <w:rFonts w:ascii="Arial" w:cs="Arial" w:eastAsia="Arial" w:hAnsi="Arial"/>
          <w:sz w:val="24"/>
          <w:szCs w:val="24"/>
        </w:rPr>
        <w:t xml:space="preserve">Office Manager / Practice Manager</w:t>
      </w:r>
    </w:p>
    <w:p>
      <w:pPr>
        <w:pStyle w:val="ListParagraph"/>
        <w:numPr>
          <w:ilvl w:val="0"/>
          <w:numId w:val="2"/>
        </w:numPr>
        <w:spacing w:after="80"/>
      </w:pPr>
      <w:r>
        <w:rPr>
          <w:rFonts w:ascii="Arial" w:cs="Arial" w:eastAsia="Arial" w:hAnsi="Arial"/>
          <w:sz w:val="24"/>
          <w:szCs w:val="24"/>
        </w:rPr>
        <w:t xml:space="preserve">General Manager / Chief Operating Officer (COO)</w:t>
      </w:r>
    </w:p>
    <w:p>
      <w:pPr>
        <w:pStyle w:val="ListParagraph"/>
        <w:numPr>
          <w:ilvl w:val="0"/>
          <w:numId w:val="2"/>
        </w:numPr>
        <w:spacing w:after="80"/>
      </w:pPr>
      <w:r>
        <w:rPr>
          <w:rFonts w:ascii="Arial" w:cs="Arial" w:eastAsia="Arial" w:hAnsi="Arial"/>
          <w:sz w:val="24"/>
          <w:szCs w:val="24"/>
        </w:rPr>
        <w:t xml:space="preserve">IT Director / Chief Information Security Officer (CISO)</w:t>
      </w:r>
    </w:p>
    <w:p>
      <w:pPr>
        <w:spacing w:after="120"/>
      </w:pPr>
      <w:r>
        <w:t xml:space="preserve"/>
      </w:r>
    </w:p>
    <w:p>
      <w:pPr>
        <w:pStyle w:val="Heading3"/>
      </w:pPr>
      <w:r>
        <w:rPr>
          <w:rFonts w:ascii="Arial" w:cs="Arial" w:eastAsia="Arial" w:hAnsi="Arial"/>
          <w:b/>
          <w:bCs/>
          <w:sz w:val="26"/>
          <w:szCs w:val="26"/>
        </w:rPr>
        <w:t xml:space="preserve">Research Process</w:t>
      </w:r>
    </w:p>
    <w:p>
      <w:pPr>
        <w:spacing w:after="120"/>
      </w:pPr>
      <w:r>
        <w:rPr>
          <w:rFonts w:ascii="Arial" w:cs="Arial" w:eastAsia="Arial" w:hAnsi="Arial"/>
          <w:sz w:val="24"/>
          <w:szCs w:val="24"/>
        </w:rPr>
        <w:t xml:space="preserve">When a user selects one or more leads from the dashboard to enrich, the system shall:</w:t>
      </w:r>
    </w:p>
    <w:p>
      <w:pPr>
        <w:pStyle w:val="ListParagraph"/>
        <w:numPr>
          <w:ilvl w:val="0"/>
          <w:numId w:val="2"/>
        </w:numPr>
        <w:spacing w:after="80"/>
      </w:pPr>
      <w:r>
        <w:rPr>
          <w:rFonts w:ascii="Arial" w:cs="Arial" w:eastAsia="Arial" w:hAnsi="Arial"/>
          <w:sz w:val="24"/>
          <w:szCs w:val="24"/>
        </w:rPr>
        <w:t xml:space="preserve">Step 1 — Seed Search: Use the organization name and known domain/website to initiate targeted web searches across LinkedIn, company websites, press releases, and professional directories.</w:t>
      </w:r>
    </w:p>
    <w:p>
      <w:pPr>
        <w:pStyle w:val="ListParagraph"/>
        <w:numPr>
          <w:ilvl w:val="0"/>
          <w:numId w:val="2"/>
        </w:numPr>
        <w:spacing w:after="80"/>
      </w:pPr>
      <w:r>
        <w:rPr>
          <w:rFonts w:ascii="Arial" w:cs="Arial" w:eastAsia="Arial" w:hAnsi="Arial"/>
          <w:sz w:val="24"/>
          <w:szCs w:val="24"/>
        </w:rPr>
        <w:t xml:space="preserve">Step 2 — Personnel Identification: Identify individuals holding qualifying titles at the organization. Cross-reference multiple sources to improve accuracy.</w:t>
      </w:r>
    </w:p>
    <w:p>
      <w:pPr>
        <w:pStyle w:val="ListParagraph"/>
        <w:numPr>
          <w:ilvl w:val="0"/>
          <w:numId w:val="2"/>
        </w:numPr>
        <w:spacing w:after="80"/>
      </w:pPr>
      <w:r>
        <w:rPr>
          <w:rFonts w:ascii="Arial" w:cs="Arial" w:eastAsia="Arial" w:hAnsi="Arial"/>
          <w:sz w:val="24"/>
          <w:szCs w:val="24"/>
        </w:rPr>
        <w:t xml:space="preserve">Step 3 — Contact Extraction: Attempt to locate direct email addresses and/or telephone numbers for identified personnel via public sources (e.g., company “About” or “Contact” pages, press releases, regulatory filings, professional networks).</w:t>
      </w:r>
    </w:p>
    <w:p>
      <w:pPr>
        <w:pStyle w:val="ListParagraph"/>
        <w:numPr>
          <w:ilvl w:val="0"/>
          <w:numId w:val="2"/>
        </w:numPr>
        <w:spacing w:after="80"/>
      </w:pPr>
      <w:r>
        <w:rPr>
          <w:rFonts w:ascii="Arial" w:cs="Arial" w:eastAsia="Arial" w:hAnsi="Arial"/>
          <w:sz w:val="24"/>
          <w:szCs w:val="24"/>
        </w:rPr>
        <w:t xml:space="preserve">Step 4 — Confidence Scoring: Assign a confidence level (High / Medium / Low) to each contact record based on the number of corroborating sources.</w:t>
      </w:r>
    </w:p>
    <w:p>
      <w:pPr>
        <w:pStyle w:val="ListParagraph"/>
        <w:numPr>
          <w:ilvl w:val="0"/>
          <w:numId w:val="2"/>
        </w:numPr>
        <w:spacing w:after="80"/>
      </w:pPr>
      <w:r>
        <w:rPr>
          <w:rFonts w:ascii="Arial" w:cs="Arial" w:eastAsia="Arial" w:hAnsi="Arial"/>
          <w:sz w:val="24"/>
          <w:szCs w:val="24"/>
        </w:rPr>
        <w:t xml:space="preserve">Step 5 — Output Assembly: Compile all gathered data into the structured output format defined below.</w:t>
      </w:r>
    </w:p>
    <w:p>
      <w:pPr>
        <w:spacing w:after="120"/>
      </w:pPr>
      <w:r>
        <w:t xml:space="preserve"/>
      </w:r>
    </w:p>
    <w:p>
      <w:pPr>
        <w:pStyle w:val="Heading3"/>
      </w:pPr>
      <w:r>
        <w:rPr>
          <w:rFonts w:ascii="Arial" w:cs="Arial" w:eastAsia="Arial" w:hAnsi="Arial"/>
          <w:b/>
          <w:bCs/>
          <w:sz w:val="26"/>
          <w:szCs w:val="26"/>
        </w:rPr>
        <w:t xml:space="preserve">Required Output Fields</w:t>
      </w:r>
    </w:p>
    <w:p>
      <w:pPr>
        <w:spacing w:after="120"/>
      </w:pPr>
      <w:r>
        <w:rPr>
          <w:rFonts w:ascii="Arial" w:cs="Arial" w:eastAsia="Arial" w:hAnsi="Arial"/>
          <w:sz w:val="24"/>
          <w:szCs w:val="24"/>
        </w:rPr>
        <w:t xml:space="preserve">The output record for each enriched lead must include the following fields: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Output 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Organization Name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The legal name of the target healthcare organization.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Website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web URL of the organization.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Physical Address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Street address, city, state, ZIP of the organization.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Telephone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Main contact telephone number.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General Email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General or info-level email address for the organization.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Key Personnel –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name of identified key person (e.g., Head of Compliance, Office Manager, General Manager).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Key Personnel – Title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Job title of the identified key person.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Key Personnel –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 email address for the identified key person.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Source / Confidence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URL or source used to identify personnel, plus a confidence indicator (High / Medium / Low).</w:t>
            </w:r>
          </w:p>
        </w:tc>
      </w:tr>
    </w:tbl>
    <w:p>
      <w:pPr>
        <w:spacing w:after="120"/>
      </w:pPr>
      <w:r>
        <w:t xml:space="preserve"/>
      </w:r>
    </w:p>
    <w:p>
      <w:pPr>
        <w:pStyle w:val="Heading3"/>
      </w:pPr>
      <w:r>
        <w:rPr>
          <w:rFonts w:ascii="Arial" w:cs="Arial" w:eastAsia="Arial" w:hAnsi="Arial"/>
          <w:b/>
          <w:bCs/>
          <w:sz w:val="26"/>
          <w:szCs w:val="26"/>
        </w:rPr>
        <w:t xml:space="preserve">Data Quality &amp; Compliance</w:t>
      </w:r>
    </w:p>
    <w:p>
      <w:pPr>
        <w:pStyle w:val="ListParagraph"/>
        <w:numPr>
          <w:ilvl w:val="0"/>
          <w:numId w:val="2"/>
        </w:numPr>
        <w:spacing w:after="80"/>
      </w:pPr>
      <w:r>
        <w:rPr>
          <w:rFonts w:ascii="Arial" w:cs="Arial" w:eastAsia="Arial" w:hAnsi="Arial"/>
          <w:sz w:val="24"/>
          <w:szCs w:val="24"/>
        </w:rPr>
        <w:t xml:space="preserve">All contact data must be sourced exclusively from publicly available information. No data scraping of gated or private sources is permitted.</w:t>
      </w:r>
    </w:p>
    <w:p>
      <w:pPr>
        <w:pStyle w:val="ListParagraph"/>
        <w:numPr>
          <w:ilvl w:val="0"/>
          <w:numId w:val="2"/>
        </w:numPr>
        <w:spacing w:after="80"/>
      </w:pPr>
      <w:r>
        <w:rPr>
          <w:rFonts w:ascii="Arial" w:cs="Arial" w:eastAsia="Arial" w:hAnsi="Arial"/>
          <w:sz w:val="24"/>
          <w:szCs w:val="24"/>
        </w:rPr>
        <w:t xml:space="preserve">The system must flag records where email addresses could not be confirmed, rather than inferring or generating addresses.</w:t>
      </w:r>
    </w:p>
    <w:p>
      <w:pPr>
        <w:pStyle w:val="ListParagraph"/>
        <w:numPr>
          <w:ilvl w:val="0"/>
          <w:numId w:val="2"/>
        </w:numPr>
        <w:spacing w:after="80"/>
      </w:pPr>
      <w:r>
        <w:rPr>
          <w:rFonts w:ascii="Arial" w:cs="Arial" w:eastAsia="Arial" w:hAnsi="Arial"/>
          <w:sz w:val="24"/>
          <w:szCs w:val="24"/>
        </w:rPr>
        <w:t xml:space="preserve">Users must acknowledge that outbound contact must comply with applicable regulations (CAN-SPAM, TCPA) before exporting enriched records.</w:t>
      </w:r>
    </w:p>
    <w:p>
      <w:pPr>
        <w:pStyle w:val="ListParagraph"/>
        <w:numPr>
          <w:ilvl w:val="0"/>
          <w:numId w:val="2"/>
        </w:numPr>
        <w:spacing w:after="80"/>
      </w:pPr>
      <w:r>
        <w:rPr>
          <w:rFonts w:ascii="Arial" w:cs="Arial" w:eastAsia="Arial" w:hAnsi="Arial"/>
          <w:sz w:val="24"/>
          <w:szCs w:val="24"/>
        </w:rPr>
        <w:t xml:space="preserve">Enrichment results must be stored in the Ledger alongside the original lead record and timestamped at the time of enrichment.</w:t>
      </w:r>
    </w:p>
    <w:p>
      <w:pPr>
        <w:spacing w:after="120"/>
      </w:pPr>
      <w:r>
        <w:t xml:space="preserve"/>
      </w:r>
    </w:p>
    <w:p>
      <w:pPr>
        <w:pStyle w:val="Heading3"/>
      </w:pPr>
      <w:r>
        <w:rPr>
          <w:rFonts w:ascii="Arial" w:cs="Arial" w:eastAsia="Arial" w:hAnsi="Arial"/>
          <w:b/>
          <w:bCs/>
          <w:sz w:val="26"/>
          <w:szCs w:val="26"/>
        </w:rPr>
        <w:t xml:space="preserve">Integration with Block 4 — Dashboard</w:t>
      </w:r>
    </w:p>
    <w:p>
      <w:pPr>
        <w:pStyle w:val="ListParagraph"/>
        <w:numPr>
          <w:ilvl w:val="0"/>
          <w:numId w:val="2"/>
        </w:numPr>
        <w:spacing w:after="80"/>
      </w:pPr>
      <w:r>
        <w:rPr>
          <w:rFonts w:ascii="Arial" w:cs="Arial" w:eastAsia="Arial" w:hAnsi="Arial"/>
          <w:sz w:val="24"/>
          <w:szCs w:val="24"/>
        </w:rPr>
        <w:t xml:space="preserve">The dashboard must provide a per-lead “Enrich Contact Info” action button.</w:t>
      </w:r>
    </w:p>
    <w:p>
      <w:pPr>
        <w:pStyle w:val="ListParagraph"/>
        <w:numPr>
          <w:ilvl w:val="0"/>
          <w:numId w:val="2"/>
        </w:numPr>
        <w:spacing w:after="80"/>
      </w:pPr>
      <w:r>
        <w:rPr>
          <w:rFonts w:ascii="Arial" w:cs="Arial" w:eastAsia="Arial" w:hAnsi="Arial"/>
          <w:sz w:val="24"/>
          <w:szCs w:val="24"/>
        </w:rPr>
        <w:t xml:space="preserve">Enrichment status must be visible in the lead list (e.g., “Not Enriched” / “In Progress” / “Enriched”).</w:t>
      </w:r>
    </w:p>
    <w:p>
      <w:pPr>
        <w:pStyle w:val="ListParagraph"/>
        <w:numPr>
          <w:ilvl w:val="0"/>
          <w:numId w:val="2"/>
        </w:numPr>
        <w:spacing w:after="80"/>
      </w:pPr>
      <w:r>
        <w:rPr>
          <w:rFonts w:ascii="Arial" w:cs="Arial" w:eastAsia="Arial" w:hAnsi="Arial"/>
          <w:sz w:val="24"/>
          <w:szCs w:val="24"/>
        </w:rPr>
        <w:t xml:space="preserve">Enriched contact records must be included in the lead export (CSV or equivalent) for use in email marketing software.</w:t>
      </w:r>
    </w:p>
    <w:p>
      <w:pPr>
        <w:spacing w:after="120"/>
      </w:pPr>
      <w:r>
        <w:t xml:space="preserve"/>
      </w:r>
    </w:p>
    <w:p>
      <w:pPr>
        <w:pStyle w:val="Heading1"/>
      </w:pPr>
      <w:r>
        <w:rPr>
          <w:rFonts w:ascii="Arial" w:cs="Arial" w:eastAsia="Arial" w:hAnsi="Arial"/>
          <w:b/>
          <w:bCs/>
          <w:sz w:val="32"/>
          <w:szCs w:val="32"/>
        </w:rPr>
        <w:t xml:space="preserve">4. Success Metrics</w:t>
      </w:r>
    </w:p>
    <w:p>
      <w:pPr>
        <w:pStyle w:val="ListParagraph"/>
        <w:numPr>
          <w:ilvl w:val="0"/>
          <w:numId w:val="2"/>
        </w:numPr>
        <w:spacing w:after="80"/>
      </w:pPr>
      <w:r>
        <w:rPr>
          <w:rFonts w:ascii="Arial" w:cs="Arial" w:eastAsia="Arial" w:hAnsi="Arial"/>
          <w:sz w:val="24"/>
          <w:szCs w:val="24"/>
        </w:rPr>
        <w:t xml:space="preserve">Accuracy: 90% of identified leads should be relevant to healthcare or cybersecurity.</w:t>
      </w:r>
    </w:p>
    <w:p>
      <w:pPr>
        <w:pStyle w:val="ListParagraph"/>
        <w:numPr>
          <w:ilvl w:val="0"/>
          <w:numId w:val="2"/>
        </w:numPr>
        <w:spacing w:after="80"/>
      </w:pPr>
      <w:r>
        <w:rPr>
          <w:rFonts w:ascii="Arial" w:cs="Arial" w:eastAsia="Arial" w:hAnsi="Arial"/>
          <w:sz w:val="24"/>
          <w:szCs w:val="24"/>
        </w:rPr>
        <w:t xml:space="preserve">Uniqueness: Zero duplicate entries for the same URL/Event.</w:t>
      </w:r>
    </w:p>
    <w:p>
      <w:pPr>
        <w:pStyle w:val="ListParagraph"/>
        <w:numPr>
          <w:ilvl w:val="0"/>
          <w:numId w:val="2"/>
        </w:numPr>
        <w:spacing w:after="80"/>
      </w:pPr>
      <w:r>
        <w:rPr>
          <w:rFonts w:ascii="Arial" w:cs="Arial" w:eastAsia="Arial" w:hAnsi="Arial"/>
          <w:sz w:val="24"/>
          <w:szCs w:val="24"/>
        </w:rPr>
        <w:t xml:space="preserve">Recency: The time between a news event being published and appearing in the dashboard should be less than 24 hours.</w:t>
      </w:r>
    </w:p>
    <w:p>
      <w:pPr>
        <w:pStyle w:val="ListParagraph"/>
        <w:numPr>
          <w:ilvl w:val="0"/>
          <w:numId w:val="2"/>
        </w:numPr>
        <w:spacing w:after="80"/>
      </w:pPr>
      <w:r>
        <w:rPr>
          <w:rFonts w:ascii="Arial" w:cs="Arial" w:eastAsia="Arial" w:hAnsi="Arial"/>
          <w:sz w:val="24"/>
          <w:szCs w:val="24"/>
        </w:rPr>
        <w:t xml:space="preserve">Enrichment Yield: At least one verified key personnel contact (name + email) should be returned for ≥70% of enriched leads.</w:t>
      </w:r>
    </w:p>
    <w:p>
      <w:pPr>
        <w:pStyle w:val="ListParagraph"/>
        <w:numPr>
          <w:ilvl w:val="0"/>
          <w:numId w:val="2"/>
        </w:numPr>
        <w:spacing w:after="80"/>
      </w:pPr>
      <w:r>
        <w:rPr>
          <w:rFonts w:ascii="Arial" w:cs="Arial" w:eastAsia="Arial" w:hAnsi="Arial"/>
          <w:sz w:val="24"/>
          <w:szCs w:val="24"/>
        </w:rPr>
        <w:t xml:space="preserve">Enrichment Accuracy: ≥85% of returned email addresses should be deliverable (measured via bounce rate in downstream email campaigns).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2026-04-24T00:46:19.905Z</dcterms:created>
  <dcterms:modified xsi:type="dcterms:W3CDTF">2026-04-24T00:46:19.906Z</dcterms:modified>
</cp:coreProperties>
</file>

<file path=docProps/custom.xml><?xml version="1.0" encoding="utf-8"?>
<Properties xmlns="http://schemas.openxmlformats.org/officeDocument/2006/custom-properties" xmlns:vt="http://schemas.openxmlformats.org/officeDocument/2006/docPropsVTypes"/>
</file>