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BC79" w14:textId="77777777" w:rsidR="00F07407" w:rsidRDefault="00F07407" w:rsidP="001E3FB4">
      <w:pPr>
        <w:pStyle w:val="Body"/>
        <w:spacing w:before="0"/>
        <w:contextualSpacing/>
      </w:pPr>
    </w:p>
    <w:p w14:paraId="5C6A5522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7650D7C2" w14:textId="77777777" w:rsidR="00F07407" w:rsidRDefault="00F07407" w:rsidP="001E3FB4">
      <w:pPr>
        <w:pStyle w:val="Body2"/>
        <w:contextualSpacing/>
      </w:pPr>
    </w:p>
    <w:p w14:paraId="16722896" w14:textId="77777777" w:rsidR="00F07407" w:rsidRDefault="00F03B72" w:rsidP="001E3FB4">
      <w:pPr>
        <w:pStyle w:val="Subtitle"/>
        <w:numPr>
          <w:ilvl w:val="1"/>
          <w:numId w:val="2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Improved understanding of </w:t>
      </w:r>
      <w:r>
        <w:rPr>
          <w:b w:val="0"/>
          <w:bCs w:val="0"/>
          <w:sz w:val="24"/>
          <w:szCs w:val="24"/>
          <w:lang w:val="fr-FR"/>
        </w:rPr>
        <w:t>certain</w:t>
      </w:r>
      <w:r>
        <w:rPr>
          <w:b w:val="0"/>
          <w:bCs w:val="0"/>
          <w:sz w:val="24"/>
          <w:szCs w:val="24"/>
        </w:rPr>
        <w:t xml:space="preserve"> cloud precipitation processes is essential to characterizing how those processes contribute to deviations from modeled parameter values</w:t>
      </w:r>
    </w:p>
    <w:p w14:paraId="348BC6C1" w14:textId="77777777" w:rsidR="00F07407" w:rsidRDefault="00F07407" w:rsidP="001E3FB4">
      <w:pPr>
        <w:pStyle w:val="Body2"/>
        <w:ind w:left="785"/>
        <w:contextualSpacing/>
      </w:pPr>
    </w:p>
    <w:p w14:paraId="71549FCB" w14:textId="77777777" w:rsidR="00F07407" w:rsidRDefault="00F03B72" w:rsidP="001E3FB4">
      <w:pPr>
        <w:pStyle w:val="Subtitle"/>
        <w:numPr>
          <w:ilvl w:val="1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Truthful LWC and droplet size distributions measurements are vital for understanding several essential cloud processes</w:t>
      </w:r>
    </w:p>
    <w:p w14:paraId="56832C1A" w14:textId="77777777" w:rsidR="00F07407" w:rsidRDefault="00F03B72" w:rsidP="001E3FB4">
      <w:pPr>
        <w:pStyle w:val="Subtitle"/>
        <w:numPr>
          <w:ilvl w:val="2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Droplet activation/formation processes</w:t>
      </w:r>
    </w:p>
    <w:p w14:paraId="013FB6F1" w14:textId="77777777" w:rsidR="00F07407" w:rsidRDefault="00F03B72" w:rsidP="001E3FB4">
      <w:pPr>
        <w:pStyle w:val="Subtitle"/>
        <w:numPr>
          <w:ilvl w:val="3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Condensational growth</w:t>
      </w:r>
    </w:p>
    <w:p w14:paraId="0459F8B2" w14:textId="77777777" w:rsidR="00F07407" w:rsidRDefault="00F03B72" w:rsidP="001E3FB4">
      <w:pPr>
        <w:pStyle w:val="Subtitle"/>
        <w:numPr>
          <w:ilvl w:val="2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Primary precipitation processes</w:t>
      </w:r>
    </w:p>
    <w:p w14:paraId="0AA68089" w14:textId="77777777" w:rsidR="00F07407" w:rsidRDefault="00F03B72" w:rsidP="001E3FB4">
      <w:pPr>
        <w:pStyle w:val="Subtitle"/>
        <w:numPr>
          <w:ilvl w:val="3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Collection/coalescence </w:t>
      </w:r>
    </w:p>
    <w:p w14:paraId="309DCBC3" w14:textId="77777777" w:rsidR="00F07407" w:rsidRDefault="00F03B72" w:rsidP="001E3FB4">
      <w:pPr>
        <w:pStyle w:val="Subtitle"/>
        <w:numPr>
          <w:ilvl w:val="3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Bergeron</w:t>
      </w:r>
    </w:p>
    <w:p w14:paraId="309ED70E" w14:textId="77777777" w:rsidR="00F07407" w:rsidRDefault="00F03B72" w:rsidP="001E3FB4">
      <w:pPr>
        <w:pStyle w:val="Subtitle"/>
        <w:numPr>
          <w:ilvl w:val="2"/>
          <w:numId w:val="5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Dynamic processes</w:t>
      </w:r>
    </w:p>
    <w:p w14:paraId="58AD109F" w14:textId="77777777" w:rsidR="00F07407" w:rsidRDefault="00F03B72" w:rsidP="001E3FB4">
      <w:pPr>
        <w:pStyle w:val="Subtitle"/>
        <w:numPr>
          <w:ilvl w:val="3"/>
          <w:numId w:val="5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Entrainment/mixing</w:t>
      </w:r>
    </w:p>
    <w:p w14:paraId="02638A1E" w14:textId="77777777" w:rsidR="00F07407" w:rsidRDefault="00F07407" w:rsidP="001E3FB4">
      <w:pPr>
        <w:pStyle w:val="Body2"/>
        <w:contextualSpacing/>
      </w:pPr>
      <w:bookmarkStart w:id="0" w:name="_GoBack"/>
      <w:bookmarkEnd w:id="0"/>
    </w:p>
    <w:p w14:paraId="3FB65905" w14:textId="77777777" w:rsidR="00F07407" w:rsidRDefault="00F07407" w:rsidP="001E3FB4">
      <w:pPr>
        <w:pStyle w:val="Body2"/>
        <w:contextualSpacing/>
      </w:pPr>
    </w:p>
    <w:p w14:paraId="5181F088" w14:textId="77777777" w:rsidR="00F07407" w:rsidRDefault="00F07407" w:rsidP="001E3FB4">
      <w:pPr>
        <w:pStyle w:val="Body2"/>
        <w:contextualSpacing/>
      </w:pPr>
    </w:p>
    <w:p w14:paraId="00F5687A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Significance</w:t>
      </w:r>
    </w:p>
    <w:p w14:paraId="61B5C658" w14:textId="77777777" w:rsidR="00F07407" w:rsidRDefault="00F07407" w:rsidP="001E3FB4">
      <w:pPr>
        <w:pStyle w:val="Subtitle"/>
        <w:contextualSpacing/>
      </w:pPr>
    </w:p>
    <w:p w14:paraId="1586F663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Considerable sizing and counting uncertainty impacts CDP LWC/droplet size distribution retrieval capability</w:t>
      </w:r>
    </w:p>
    <w:p w14:paraId="75A6FFCA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Major contributing factors</w:t>
      </w:r>
    </w:p>
    <w:p w14:paraId="22AFE1B2" w14:textId="77777777" w:rsidR="00F07407" w:rsidRDefault="00F03B72" w:rsidP="001E3FB4">
      <w:pPr>
        <w:pStyle w:val="Subtitle"/>
        <w:numPr>
          <w:ilvl w:val="3"/>
          <w:numId w:val="6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Sample area dimension uncertainty</w:t>
      </w:r>
    </w:p>
    <w:p w14:paraId="50722023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Non-uniform response throughout sample area </w:t>
      </w:r>
    </w:p>
    <w:p w14:paraId="4547BA94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Coincidence error</w:t>
      </w:r>
    </w:p>
    <w:p w14:paraId="6BCD8DC3" w14:textId="77777777" w:rsidR="00F07407" w:rsidRDefault="00F07407" w:rsidP="001E3FB4">
      <w:pPr>
        <w:pStyle w:val="Body2"/>
        <w:ind w:left="1571"/>
        <w:contextualSpacing/>
      </w:pPr>
    </w:p>
    <w:p w14:paraId="47C4756A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Nevzorov hotwire probe provides an independent bulk LWC measurement</w:t>
      </w:r>
    </w:p>
    <w:p w14:paraId="56D93BD9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advantages</w:t>
      </w:r>
    </w:p>
    <w:p w14:paraId="66D9D397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Collector/reference sensor pairing reduces uncertainty, baseline noise</w:t>
      </w:r>
    </w:p>
    <w:p w14:paraId="4D9726F0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Nevzorov/CDP LWC has been shown to be in good agreement </w:t>
      </w:r>
    </w:p>
    <w:p w14:paraId="3ABDB249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Has several known, but not completely characterized, uncertainty sources </w:t>
      </w:r>
    </w:p>
    <w:p w14:paraId="1A6D5FFB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Dry air heat losses</w:t>
      </w:r>
    </w:p>
    <w:p w14:paraId="7107E245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Non-unity particle collection efficiency</w:t>
      </w:r>
    </w:p>
    <w:p w14:paraId="568052D9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Sensor saturation effects</w:t>
      </w:r>
    </w:p>
    <w:p w14:paraId="13F72A53" w14:textId="77777777" w:rsidR="00F07407" w:rsidRDefault="00F07407" w:rsidP="001E3FB4">
      <w:pPr>
        <w:pStyle w:val="Body2"/>
        <w:contextualSpacing/>
      </w:pPr>
    </w:p>
    <w:p w14:paraId="45878368" w14:textId="77777777" w:rsidR="00D618A9" w:rsidRDefault="00D618A9" w:rsidP="001E3FB4">
      <w:pPr>
        <w:pStyle w:val="Body2"/>
        <w:contextualSpacing/>
      </w:pPr>
    </w:p>
    <w:p w14:paraId="7AC8FB74" w14:textId="77777777" w:rsidR="00D618A9" w:rsidRDefault="00D618A9" w:rsidP="001E3FB4">
      <w:pPr>
        <w:pStyle w:val="Body2"/>
        <w:contextualSpacing/>
      </w:pPr>
    </w:p>
    <w:p w14:paraId="0B6386B5" w14:textId="77777777" w:rsidR="00D618A9" w:rsidRDefault="00D618A9" w:rsidP="001E3FB4">
      <w:pPr>
        <w:pStyle w:val="Body2"/>
        <w:contextualSpacing/>
      </w:pPr>
    </w:p>
    <w:p w14:paraId="0C1F5D51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CDP performance investigation possible using CDP/Nevzorov’s mutual LWC retrieval</w:t>
      </w:r>
    </w:p>
    <w:p w14:paraId="2A4B918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CDP LWC is derived from droplet concentration/sizes</w:t>
      </w:r>
    </w:p>
    <w:p w14:paraId="301A4B6C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Possible to constrain CDP performance with respect to different droplet </w:t>
      </w:r>
      <w:r>
        <w:rPr>
          <w:lang w:val="fr-FR"/>
        </w:rPr>
        <w:t>concentration</w:t>
      </w:r>
      <w:r>
        <w:t>s/sizes using…</w:t>
      </w:r>
    </w:p>
    <w:p w14:paraId="7BCC393C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Nevzorov LWC</w:t>
      </w:r>
    </w:p>
    <w:p w14:paraId="64BCAC2E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Previous CDP uncertainty studies</w:t>
      </w:r>
    </w:p>
    <w:p w14:paraId="35264471" w14:textId="77777777" w:rsidR="00F07407" w:rsidRDefault="00F07407" w:rsidP="001E3FB4">
      <w:pPr>
        <w:pStyle w:val="Body2"/>
        <w:ind w:left="720"/>
        <w:contextualSpacing/>
      </w:pPr>
    </w:p>
    <w:p w14:paraId="16943827" w14:textId="77777777" w:rsidR="00F07407" w:rsidRDefault="00F07407" w:rsidP="001E3FB4">
      <w:pPr>
        <w:pStyle w:val="Body2"/>
        <w:contextualSpacing/>
      </w:pPr>
    </w:p>
    <w:p w14:paraId="4F3AE31E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2127E385" w14:textId="77777777" w:rsidR="00F07407" w:rsidRDefault="00F07407" w:rsidP="001E3FB4">
      <w:pPr>
        <w:pStyle w:val="Subtitle"/>
        <w:contextualSpacing/>
      </w:pPr>
    </w:p>
    <w:p w14:paraId="12503531" w14:textId="77777777" w:rsidR="00F07407" w:rsidRDefault="00F03B72" w:rsidP="001E3FB4">
      <w:pPr>
        <w:pStyle w:val="Subtitle"/>
        <w:numPr>
          <w:ilvl w:val="1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</w:t>
      </w:r>
    </w:p>
    <w:p w14:paraId="2A156468" w14:textId="0F9CEF26" w:rsidR="00F07407" w:rsidRDefault="00F03B72" w:rsidP="001E3FB4">
      <w:pPr>
        <w:pStyle w:val="Subtitle"/>
        <w:numPr>
          <w:ilvl w:val="2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Lance, 2010</w:t>
      </w:r>
      <w:r w:rsidR="009C1189">
        <w:rPr>
          <w:b w:val="0"/>
          <w:bCs w:val="0"/>
          <w:sz w:val="24"/>
          <w:szCs w:val="24"/>
        </w:rPr>
        <w:t>, 2012</w:t>
      </w:r>
    </w:p>
    <w:p w14:paraId="11B9A7D3" w14:textId="77777777" w:rsidR="00F07407" w:rsidRDefault="00F03B72" w:rsidP="001E3FB4">
      <w:pPr>
        <w:pStyle w:val="Subtitle"/>
        <w:numPr>
          <w:ilvl w:val="3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Basis for droplet generator setup</w:t>
      </w:r>
    </w:p>
    <w:p w14:paraId="1A680C6B" w14:textId="77777777" w:rsidR="00F07407" w:rsidRDefault="00F03B72" w:rsidP="001E3FB4">
      <w:pPr>
        <w:pStyle w:val="Subtitle"/>
        <w:numPr>
          <w:ilvl w:val="3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droplet sizing/droplet concentration/LWC uncertainty due to…</w:t>
      </w:r>
    </w:p>
    <w:p w14:paraId="24B11248" w14:textId="77777777" w:rsidR="00F07407" w:rsidRDefault="00F03B72" w:rsidP="001E3FB4">
      <w:pPr>
        <w:pStyle w:val="Subtitle"/>
        <w:numPr>
          <w:ilvl w:val="4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error, which introduces bias by…</w:t>
      </w:r>
    </w:p>
    <w:p w14:paraId="38170A7B" w14:textId="77777777" w:rsidR="00F07407" w:rsidRDefault="00F03B72" w:rsidP="001E3FB4">
      <w:pPr>
        <w:pStyle w:val="Body2"/>
        <w:numPr>
          <w:ilvl w:val="5"/>
          <w:numId w:val="8"/>
        </w:numPr>
        <w:contextualSpacing/>
      </w:pPr>
      <w:r>
        <w:t>Mis-sizing droplets</w:t>
      </w:r>
    </w:p>
    <w:p w14:paraId="66F9DE9B" w14:textId="77777777" w:rsidR="00F07407" w:rsidRDefault="00F03B72" w:rsidP="001E3FB4">
      <w:pPr>
        <w:pStyle w:val="Body2"/>
        <w:numPr>
          <w:ilvl w:val="5"/>
          <w:numId w:val="8"/>
        </w:numPr>
        <w:contextualSpacing/>
      </w:pPr>
      <w:r>
        <w:t>Mis-counting droplets</w:t>
      </w:r>
    </w:p>
    <w:p w14:paraId="1ADDDCEB" w14:textId="3779F621" w:rsidR="00F07407" w:rsidRDefault="00F03B72" w:rsidP="001E3FB4">
      <w:pPr>
        <w:pStyle w:val="Subtitle"/>
        <w:numPr>
          <w:ilvl w:val="4"/>
          <w:numId w:val="9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Non-uniform counting/sizing performance within </w:t>
      </w:r>
      <w:r w:rsidR="00753DBC">
        <w:rPr>
          <w:b w:val="0"/>
          <w:bCs w:val="0"/>
          <w:sz w:val="24"/>
          <w:szCs w:val="24"/>
        </w:rPr>
        <w:t xml:space="preserve">qualified </w:t>
      </w:r>
      <w:r>
        <w:rPr>
          <w:b w:val="0"/>
          <w:bCs w:val="0"/>
          <w:sz w:val="24"/>
          <w:szCs w:val="24"/>
        </w:rPr>
        <w:t>sample area</w:t>
      </w:r>
    </w:p>
    <w:p w14:paraId="456C5EA6" w14:textId="77777777" w:rsidR="00753DBC" w:rsidRDefault="00753DBC" w:rsidP="001E3FB4">
      <w:pPr>
        <w:pStyle w:val="Body2"/>
        <w:numPr>
          <w:ilvl w:val="5"/>
          <w:numId w:val="9"/>
        </w:numPr>
        <w:contextualSpacing/>
      </w:pPr>
      <w:r>
        <w:t>Mis-sizing droplets</w:t>
      </w:r>
    </w:p>
    <w:p w14:paraId="3DB43545" w14:textId="77777777" w:rsidR="00753DBC" w:rsidRPr="00753DBC" w:rsidRDefault="00753DBC" w:rsidP="001E3FB4">
      <w:pPr>
        <w:pStyle w:val="Body2"/>
        <w:contextualSpacing/>
      </w:pPr>
    </w:p>
    <w:p w14:paraId="4C70D978" w14:textId="77777777" w:rsidR="00F07407" w:rsidRDefault="00F07407" w:rsidP="001E3FB4">
      <w:pPr>
        <w:pStyle w:val="Body2"/>
        <w:ind w:left="3142"/>
        <w:contextualSpacing/>
      </w:pPr>
    </w:p>
    <w:p w14:paraId="2053AFFB" w14:textId="77777777" w:rsidR="00F07407" w:rsidRDefault="00F03B72" w:rsidP="001E3FB4">
      <w:pPr>
        <w:pStyle w:val="Subtitle"/>
        <w:numPr>
          <w:ilvl w:val="1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</w:t>
      </w:r>
    </w:p>
    <w:p w14:paraId="4592EC6D" w14:textId="77777777" w:rsidR="00F07407" w:rsidRDefault="00F03B72" w:rsidP="001E3FB4">
      <w:pPr>
        <w:pStyle w:val="Subtitle"/>
        <w:numPr>
          <w:ilvl w:val="2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LWC uncertainty due to…</w:t>
      </w:r>
    </w:p>
    <w:p w14:paraId="3084ECF0" w14:textId="77777777" w:rsidR="00F07407" w:rsidRDefault="00F03B72" w:rsidP="001E3FB4">
      <w:pPr>
        <w:pStyle w:val="Subtitle"/>
        <w:numPr>
          <w:ilvl w:val="3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Dry air heat losses</w:t>
      </w:r>
    </w:p>
    <w:p w14:paraId="768276C5" w14:textId="77777777" w:rsidR="00F07407" w:rsidRDefault="00F03B72" w:rsidP="001E3FB4">
      <w:pPr>
        <w:pStyle w:val="Subtitle"/>
        <w:numPr>
          <w:ilvl w:val="4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Dependent on airspeed and environmental pressure fluctuations (Korolev 1997)</w:t>
      </w:r>
    </w:p>
    <w:p w14:paraId="06135DA1" w14:textId="77777777" w:rsidR="00F07407" w:rsidRDefault="00F03B72" w:rsidP="001E3FB4">
      <w:pPr>
        <w:pStyle w:val="Body2"/>
        <w:numPr>
          <w:ilvl w:val="3"/>
          <w:numId w:val="11"/>
        </w:numPr>
        <w:contextualSpacing/>
      </w:pPr>
      <w:r>
        <w:t xml:space="preserve">Non-unity liquid particle collection efficiency </w:t>
      </w:r>
    </w:p>
    <w:p w14:paraId="2FFB98EB" w14:textId="77777777" w:rsidR="00F07407" w:rsidRDefault="00F03B72" w:rsidP="001E3FB4">
      <w:pPr>
        <w:pStyle w:val="Body2"/>
        <w:numPr>
          <w:ilvl w:val="4"/>
          <w:numId w:val="11"/>
        </w:numPr>
        <w:contextualSpacing/>
      </w:pPr>
      <w:r>
        <w:t xml:space="preserve">Especially for 5 um &lt; VMD &lt; 25 um (Korolev 1997, Strapp 2003, </w:t>
      </w:r>
      <w:r>
        <w:rPr>
          <w:lang w:val="de-DE"/>
        </w:rPr>
        <w:t>Schwarzenboeck</w:t>
      </w:r>
      <w:r>
        <w:t xml:space="preserve"> 2009)</w:t>
      </w:r>
    </w:p>
    <w:p w14:paraId="62264862" w14:textId="77777777" w:rsidR="00F07407" w:rsidRDefault="00F03B72" w:rsidP="001E3FB4">
      <w:pPr>
        <w:pStyle w:val="Body2"/>
        <w:numPr>
          <w:ilvl w:val="3"/>
          <w:numId w:val="11"/>
        </w:numPr>
        <w:contextualSpacing/>
      </w:pPr>
      <w:r>
        <w:t>Sensor saturation effects significant where…</w:t>
      </w:r>
    </w:p>
    <w:p w14:paraId="71B3CFB5" w14:textId="77777777" w:rsidR="00F07407" w:rsidRDefault="00F03B72" w:rsidP="001E3FB4">
      <w:pPr>
        <w:pStyle w:val="Subtitle"/>
        <w:numPr>
          <w:ilvl w:val="4"/>
          <w:numId w:val="12"/>
        </w:numPr>
        <w:contextualSpacing/>
        <w:rPr>
          <w:b w:val="0"/>
          <w:bCs w:val="0"/>
          <w:sz w:val="24"/>
          <w:szCs w:val="24"/>
          <w:lang w:val="pt-PT"/>
        </w:rPr>
      </w:pPr>
      <w:r>
        <w:rPr>
          <w:b w:val="0"/>
          <w:bCs w:val="0"/>
          <w:sz w:val="24"/>
          <w:szCs w:val="24"/>
          <w:lang w:val="pt-PT"/>
        </w:rPr>
        <w:t xml:space="preserve">MVD </w:t>
      </w:r>
      <w:r>
        <w:rPr>
          <w:b w:val="0"/>
          <w:bCs w:val="0"/>
          <w:sz w:val="24"/>
          <w:szCs w:val="24"/>
        </w:rPr>
        <w:t>&gt; 50 um (Strapp 2003)</w:t>
      </w:r>
    </w:p>
    <w:p w14:paraId="1A34597A" w14:textId="77777777" w:rsidR="00F07407" w:rsidRDefault="00F03B72" w:rsidP="001E3FB4">
      <w:pPr>
        <w:pStyle w:val="Body2"/>
        <w:numPr>
          <w:ilvl w:val="4"/>
          <w:numId w:val="11"/>
        </w:numPr>
        <w:contextualSpacing/>
      </w:pPr>
      <w:r>
        <w:t>LWC &gt; 1.3 g m-3 (Sulskis, 2016)</w:t>
      </w:r>
    </w:p>
    <w:p w14:paraId="65596793" w14:textId="77777777" w:rsidR="00F07407" w:rsidRDefault="00F03B72" w:rsidP="001E3FB4">
      <w:pPr>
        <w:pStyle w:val="Subtitle"/>
        <w:numPr>
          <w:ilvl w:val="2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 algorithm development</w:t>
      </w:r>
    </w:p>
    <w:p w14:paraId="31E74C78" w14:textId="77777777" w:rsidR="00F07407" w:rsidRDefault="00F03B72" w:rsidP="001E3FB4">
      <w:pPr>
        <w:pStyle w:val="Body2"/>
        <w:numPr>
          <w:ilvl w:val="3"/>
          <w:numId w:val="13"/>
        </w:numPr>
        <w:contextualSpacing/>
      </w:pPr>
      <w:r>
        <w:t>Minimized dry air heat loss uncertainty caused by airspeed/pressure deviations</w:t>
      </w:r>
    </w:p>
    <w:p w14:paraId="116D57CF" w14:textId="77777777" w:rsidR="00F07407" w:rsidRDefault="00F03B72" w:rsidP="001E3FB4">
      <w:pPr>
        <w:pStyle w:val="Body2"/>
        <w:numPr>
          <w:ilvl w:val="3"/>
          <w:numId w:val="13"/>
        </w:numPr>
        <w:contextualSpacing/>
      </w:pPr>
      <w:r>
        <w:t>Characterized other major uncertainty sources</w:t>
      </w:r>
    </w:p>
    <w:p w14:paraId="2ACE6D3A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t>Aircraft orientation</w:t>
      </w:r>
    </w:p>
    <w:p w14:paraId="4C41196B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t>Unity collection efficiency assumption (in VMD 2-50 um range)</w:t>
      </w:r>
    </w:p>
    <w:p w14:paraId="7879056B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lastRenderedPageBreak/>
        <w:t>Fixed latent heat of vaporization assumption</w:t>
      </w:r>
    </w:p>
    <w:p w14:paraId="43191AE3" w14:textId="77777777" w:rsidR="00575C93" w:rsidRDefault="00575C93" w:rsidP="001E3FB4">
      <w:pPr>
        <w:pStyle w:val="Body2"/>
        <w:contextualSpacing/>
      </w:pPr>
    </w:p>
    <w:p w14:paraId="6ED01AD6" w14:textId="77777777" w:rsidR="00844C39" w:rsidRDefault="00844C39" w:rsidP="001E3FB4">
      <w:pPr>
        <w:pStyle w:val="Body2"/>
        <w:contextualSpacing/>
      </w:pPr>
    </w:p>
    <w:p w14:paraId="40A27722" w14:textId="77777777" w:rsidR="00844C39" w:rsidRDefault="00844C39" w:rsidP="001E3FB4">
      <w:pPr>
        <w:pStyle w:val="Body2"/>
        <w:contextualSpacing/>
      </w:pPr>
    </w:p>
    <w:p w14:paraId="33C122B4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CDP/Nevzorov LWC comparison</w:t>
      </w:r>
    </w:p>
    <w:p w14:paraId="135D1495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CDP LWC in significantly better agreement with Nevzorov LWC than LWC-100 or PVM-100A LWC (Sulskis, 2016)</w:t>
      </w:r>
    </w:p>
    <w:p w14:paraId="74EB4CA7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Very little Nevzorov LWC bias evident for 0.02 &lt; LWC &lt; 1.3 g m-3</w:t>
      </w:r>
    </w:p>
    <w:p w14:paraId="01E8892D" w14:textId="77777777" w:rsidR="00F07407" w:rsidRDefault="00F07407" w:rsidP="001E3FB4">
      <w:pPr>
        <w:pStyle w:val="Body2"/>
        <w:contextualSpacing/>
      </w:pPr>
    </w:p>
    <w:p w14:paraId="50E3230B" w14:textId="77777777" w:rsidR="00F07407" w:rsidRDefault="00F07407" w:rsidP="001E3FB4">
      <w:pPr>
        <w:pStyle w:val="Body2"/>
        <w:ind w:left="1571"/>
        <w:contextualSpacing/>
      </w:pPr>
    </w:p>
    <w:p w14:paraId="34C43078" w14:textId="77777777" w:rsidR="00F07407" w:rsidRDefault="00F07407" w:rsidP="001E3FB4">
      <w:pPr>
        <w:pStyle w:val="Body2"/>
        <w:contextualSpacing/>
      </w:pPr>
    </w:p>
    <w:p w14:paraId="65844368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Objective</w:t>
      </w:r>
      <w:r>
        <w:rPr>
          <w:sz w:val="24"/>
          <w:szCs w:val="24"/>
        </w:rPr>
        <w:t>s</w:t>
      </w:r>
    </w:p>
    <w:p w14:paraId="1E1AE87E" w14:textId="77777777" w:rsidR="00F07407" w:rsidRDefault="00F07407" w:rsidP="001E3FB4">
      <w:pPr>
        <w:pStyle w:val="Body2"/>
        <w:contextualSpacing/>
      </w:pPr>
    </w:p>
    <w:p w14:paraId="3D71D94B" w14:textId="6D8D3423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Improve UW King Air LWC/droplet size distribution retrieval confidence</w:t>
      </w:r>
    </w:p>
    <w:p w14:paraId="27A3142F" w14:textId="77777777" w:rsidR="00322AAC" w:rsidRDefault="00322AAC" w:rsidP="001E3FB4">
      <w:pPr>
        <w:pStyle w:val="Body2"/>
        <w:ind w:left="480"/>
        <w:contextualSpacing/>
      </w:pPr>
    </w:p>
    <w:p w14:paraId="53A9F05B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Develop droplet generator and base operating procedures suitable for…</w:t>
      </w:r>
    </w:p>
    <w:p w14:paraId="3976B24B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Testing CDP performance</w:t>
      </w:r>
    </w:p>
    <w:p w14:paraId="130FE397" w14:textId="2D5F584A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CDP calibration</w:t>
      </w:r>
    </w:p>
    <w:p w14:paraId="3DCAC98E" w14:textId="77777777" w:rsidR="00322AAC" w:rsidRDefault="00322AAC" w:rsidP="001E3FB4">
      <w:pPr>
        <w:pStyle w:val="Body2"/>
        <w:ind w:left="960"/>
        <w:contextualSpacing/>
      </w:pPr>
    </w:p>
    <w:p w14:paraId="639ADAB1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Develop/test in-house Nevzorov data processing algorithms</w:t>
      </w:r>
    </w:p>
    <w:p w14:paraId="46C4930A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Test calculation truthfulness/algorithm robustness using…</w:t>
      </w:r>
    </w:p>
    <w:p w14:paraId="7E49BF32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COPE 13 dataset</w:t>
      </w:r>
    </w:p>
    <w:p w14:paraId="6E38D5D3" w14:textId="77777777" w:rsidR="00F07407" w:rsidRDefault="00F03B72" w:rsidP="001E3FB4">
      <w:pPr>
        <w:pStyle w:val="Body2"/>
        <w:numPr>
          <w:ilvl w:val="5"/>
          <w:numId w:val="7"/>
        </w:numPr>
        <w:contextualSpacing/>
      </w:pPr>
      <w:r>
        <w:t>Including Korolev’s Nevzorov calculations</w:t>
      </w:r>
    </w:p>
    <w:p w14:paraId="156FF8D0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Spring/Fall 2016 UWKA data</w:t>
      </w:r>
    </w:p>
    <w:p w14:paraId="03A91277" w14:textId="77777777" w:rsidR="00F07407" w:rsidRDefault="00F07407" w:rsidP="001E3FB4">
      <w:pPr>
        <w:pStyle w:val="Body2"/>
        <w:contextualSpacing/>
      </w:pPr>
    </w:p>
    <w:p w14:paraId="08361CFA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Better characterize Nevzorov LWC uncertainty sources</w:t>
      </w:r>
    </w:p>
    <w:p w14:paraId="1F0249B6" w14:textId="77777777" w:rsidR="00F07407" w:rsidRDefault="00F07407" w:rsidP="001E3FB4">
      <w:pPr>
        <w:pStyle w:val="Body2"/>
        <w:contextualSpacing/>
      </w:pPr>
    </w:p>
    <w:p w14:paraId="35D2890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Propose methods to further investigate CDP performance/limitations using…</w:t>
      </w:r>
    </w:p>
    <w:p w14:paraId="68DEECEA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CDP/Nevzorov LWC comparison</w:t>
      </w:r>
    </w:p>
    <w:p w14:paraId="4B33A905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Established CDP performance characterization</w:t>
      </w:r>
    </w:p>
    <w:p w14:paraId="17E800C2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Improved Nevzorov uncertainty characterization</w:t>
      </w:r>
    </w:p>
    <w:p w14:paraId="3A71C115" w14:textId="77777777" w:rsidR="00F07407" w:rsidRDefault="00F07407" w:rsidP="001E3FB4">
      <w:pPr>
        <w:pStyle w:val="Body2"/>
        <w:contextualSpacing/>
      </w:pPr>
    </w:p>
    <w:p w14:paraId="39091BB8" w14:textId="77777777" w:rsidR="00F07407" w:rsidRDefault="00F07407" w:rsidP="001E3FB4">
      <w:pPr>
        <w:pStyle w:val="Subtitle"/>
        <w:contextualSpacing/>
      </w:pPr>
    </w:p>
    <w:p w14:paraId="2D793A8F" w14:textId="77777777" w:rsidR="00F07407" w:rsidRDefault="00F03B72" w:rsidP="001E3FB4">
      <w:pPr>
        <w:pStyle w:val="Body2"/>
        <w:contextualSpacing/>
      </w:pPr>
      <w:r>
        <w:t xml:space="preserve"> </w:t>
      </w:r>
    </w:p>
    <w:p w14:paraId="7DBC46E3" w14:textId="77777777" w:rsidR="00CD20D3" w:rsidRDefault="00CD20D3" w:rsidP="001E3FB4">
      <w:pPr>
        <w:pStyle w:val="Body2"/>
        <w:contextualSpacing/>
      </w:pPr>
    </w:p>
    <w:p w14:paraId="3AF86DDF" w14:textId="77777777" w:rsidR="00CD20D3" w:rsidRDefault="00CD20D3" w:rsidP="001E3FB4">
      <w:pPr>
        <w:pStyle w:val="Body2"/>
        <w:contextualSpacing/>
      </w:pPr>
    </w:p>
    <w:p w14:paraId="679BE425" w14:textId="77777777" w:rsidR="00CD20D3" w:rsidRDefault="00CD20D3" w:rsidP="001E3FB4">
      <w:pPr>
        <w:pStyle w:val="Body2"/>
        <w:contextualSpacing/>
      </w:pPr>
    </w:p>
    <w:p w14:paraId="628C3B01" w14:textId="77777777" w:rsidR="00CD20D3" w:rsidRDefault="00CD20D3" w:rsidP="001E3FB4">
      <w:pPr>
        <w:pStyle w:val="Body2"/>
        <w:contextualSpacing/>
      </w:pPr>
    </w:p>
    <w:p w14:paraId="38C06DDB" w14:textId="77777777" w:rsidR="00CD20D3" w:rsidRDefault="00CD20D3" w:rsidP="001E3FB4">
      <w:pPr>
        <w:pStyle w:val="Body2"/>
        <w:contextualSpacing/>
      </w:pPr>
    </w:p>
    <w:p w14:paraId="494331E4" w14:textId="77777777" w:rsidR="00CD20D3" w:rsidRDefault="00CD20D3" w:rsidP="001E3FB4">
      <w:pPr>
        <w:pStyle w:val="Body2"/>
        <w:contextualSpacing/>
      </w:pPr>
    </w:p>
    <w:p w14:paraId="31DDCEAC" w14:textId="77777777" w:rsidR="00CD20D3" w:rsidRDefault="00CD20D3" w:rsidP="001E3FB4">
      <w:pPr>
        <w:pStyle w:val="Body2"/>
        <w:contextualSpacing/>
      </w:pPr>
    </w:p>
    <w:p w14:paraId="1EC85C30" w14:textId="77777777" w:rsidR="00F07407" w:rsidRDefault="00F07407" w:rsidP="001E3FB4">
      <w:pPr>
        <w:pStyle w:val="Body2"/>
        <w:contextualSpacing/>
      </w:pPr>
    </w:p>
    <w:p w14:paraId="078567EC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23F06AFB" w14:textId="77777777" w:rsidR="00F07407" w:rsidRDefault="00F07407" w:rsidP="001E3FB4">
      <w:pPr>
        <w:pStyle w:val="Body2"/>
        <w:contextualSpacing/>
      </w:pPr>
    </w:p>
    <w:p w14:paraId="5944D308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2016 spring semester</w:t>
      </w:r>
    </w:p>
    <w:p w14:paraId="4060CE6C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uncertainty characterization completed</w:t>
      </w:r>
    </w:p>
    <w:p w14:paraId="5CDBCA0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First iteration Nevzorov algorithms performing consistently</w:t>
      </w:r>
    </w:p>
    <w:p w14:paraId="76E1F1E9" w14:textId="77777777" w:rsidR="00F07407" w:rsidRDefault="00F07407" w:rsidP="001E3FB4">
      <w:pPr>
        <w:pStyle w:val="Body2"/>
        <w:contextualSpacing/>
      </w:pPr>
    </w:p>
    <w:p w14:paraId="550A7E84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summer 2016</w:t>
      </w:r>
    </w:p>
    <w:p w14:paraId="0EA465FF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algorithms/documentation in form suitable for in-department use</w:t>
      </w:r>
    </w:p>
    <w:p w14:paraId="53E9AB85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Major droplet generator components obtained and in place</w:t>
      </w:r>
    </w:p>
    <w:p w14:paraId="4665FCE2" w14:textId="77777777" w:rsidR="00F07407" w:rsidRDefault="00F07407" w:rsidP="001E3FB4">
      <w:pPr>
        <w:pStyle w:val="Body2"/>
        <w:contextualSpacing/>
      </w:pPr>
    </w:p>
    <w:p w14:paraId="51A355B3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2016 fall semester</w:t>
      </w:r>
    </w:p>
    <w:p w14:paraId="021B879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 robustness tested with fall 2016 UWKA flight data</w:t>
      </w:r>
    </w:p>
    <w:p w14:paraId="752CDA2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algorithms/documentation finalized for in-department use</w:t>
      </w:r>
    </w:p>
    <w:p w14:paraId="54BB175D" w14:textId="77777777" w:rsidR="00F07407" w:rsidRDefault="00F07407" w:rsidP="001E3FB4">
      <w:pPr>
        <w:pStyle w:val="Body2"/>
        <w:contextualSpacing/>
      </w:pPr>
    </w:p>
    <w:p w14:paraId="287C36E9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winter break 2016</w:t>
      </w:r>
    </w:p>
    <w:p w14:paraId="4053403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 producing droplets within acceptable tolerances</w:t>
      </w:r>
    </w:p>
    <w:p w14:paraId="54D45BD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generator/CDP used to collect initial, proof-of-concept, dataset</w:t>
      </w:r>
    </w:p>
    <w:p w14:paraId="71D36433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Initial thesis writing stages </w:t>
      </w:r>
    </w:p>
    <w:p w14:paraId="55B7DB5B" w14:textId="77777777" w:rsidR="00F07407" w:rsidRDefault="00F07407" w:rsidP="001E3FB4">
      <w:pPr>
        <w:pStyle w:val="Body2"/>
        <w:contextualSpacing/>
      </w:pPr>
    </w:p>
    <w:p w14:paraId="09672261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Mid 2017 spring semester</w:t>
      </w:r>
    </w:p>
    <w:p w14:paraId="549EA16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 procedures finalized and documented</w:t>
      </w:r>
    </w:p>
    <w:p w14:paraId="64A3C9A8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Initial thesis draft complete</w:t>
      </w:r>
    </w:p>
    <w:p w14:paraId="7A7C23EB" w14:textId="77777777" w:rsidR="00F07407" w:rsidRDefault="00F07407" w:rsidP="001E3FB4">
      <w:pPr>
        <w:pStyle w:val="Body2"/>
        <w:contextualSpacing/>
      </w:pPr>
    </w:p>
    <w:p w14:paraId="077AF22C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2017 spring semester</w:t>
      </w:r>
    </w:p>
    <w:p w14:paraId="12A948F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Thesis approved by committee </w:t>
      </w:r>
    </w:p>
    <w:sectPr w:rsidR="00F07407">
      <w:headerReference w:type="default" r:id="rId7"/>
      <w:footerReference w:type="default" r:id="rId8"/>
      <w:pgSz w:w="12240" w:h="15840"/>
      <w:pgMar w:top="1080" w:right="720" w:bottom="144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12B12" w14:textId="77777777" w:rsidR="00746F97" w:rsidRDefault="00746F97">
      <w:r>
        <w:separator/>
      </w:r>
    </w:p>
  </w:endnote>
  <w:endnote w:type="continuationSeparator" w:id="0">
    <w:p w14:paraId="4414D69F" w14:textId="77777777" w:rsidR="00746F97" w:rsidRDefault="0074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DDD9B" w14:textId="77777777" w:rsidR="00F07407" w:rsidRDefault="00F03B72">
    <w:pPr>
      <w:pStyle w:val="HeaderFooter"/>
      <w:tabs>
        <w:tab w:val="clear" w:pos="9020"/>
        <w:tab w:val="center" w:pos="5400"/>
        <w:tab w:val="right" w:pos="10800"/>
      </w:tabs>
    </w:pPr>
    <w:r>
      <w:fldChar w:fldCharType="begin"/>
    </w:r>
    <w:r>
      <w:instrText xml:space="preserve"> PAGE </w:instrText>
    </w:r>
    <w:r>
      <w:fldChar w:fldCharType="separate"/>
    </w:r>
    <w:r w:rsidR="001E3FB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A7FD1" w14:textId="77777777" w:rsidR="00746F97" w:rsidRDefault="00746F97">
      <w:r>
        <w:separator/>
      </w:r>
    </w:p>
  </w:footnote>
  <w:footnote w:type="continuationSeparator" w:id="0">
    <w:p w14:paraId="1552D7B1" w14:textId="77777777" w:rsidR="00746F97" w:rsidRDefault="00746F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9EFCA" w14:textId="77777777" w:rsidR="00F07407" w:rsidRDefault="00F03B72">
    <w:pPr>
      <w:pStyle w:val="HeaderFooter"/>
      <w:keepNext/>
      <w:tabs>
        <w:tab w:val="clear" w:pos="9020"/>
        <w:tab w:val="center" w:pos="5400"/>
        <w:tab w:val="right" w:pos="10800"/>
      </w:tabs>
      <w:spacing w:before="200" w:after="200"/>
      <w:outlineLvl w:val="1"/>
    </w:pPr>
    <w:r>
      <w:rPr>
        <w:b/>
        <w:bCs/>
        <w:color w:val="434343"/>
      </w:rPr>
      <w:t>Research Plan Outline</w:t>
    </w:r>
    <w:r>
      <w:rPr>
        <w:b/>
        <w:bCs/>
        <w:color w:val="434343"/>
      </w:rPr>
      <w:tab/>
    </w:r>
    <w:r>
      <w:rPr>
        <w:b/>
        <w:bCs/>
        <w:color w:val="434343"/>
      </w:rPr>
      <w:tab/>
    </w:r>
    <w:r>
      <w:rPr>
        <w:rFonts w:eastAsia="Helvetica" w:cs="Helvetica"/>
      </w:rPr>
      <w:fldChar w:fldCharType="begin" w:fldLock="1"/>
    </w:r>
    <w:r>
      <w:rPr>
        <w:rFonts w:eastAsia="Helvetica" w:cs="Helvetica"/>
      </w:rPr>
      <w:instrText xml:space="preserve"> DATE \@ "dddd, MMMM d, y" </w:instrText>
    </w:r>
    <w:r>
      <w:rPr>
        <w:rFonts w:eastAsia="Helvetica" w:cs="Helvetica"/>
      </w:rPr>
      <w:fldChar w:fldCharType="separate"/>
    </w:r>
    <w:r>
      <w:t>Monday, May 30, 2016</w:t>
    </w:r>
    <w:r>
      <w:rPr>
        <w:rFonts w:eastAsia="Helvetica" w:cs="Helvetic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317C"/>
    <w:multiLevelType w:val="hybridMultilevel"/>
    <w:tmpl w:val="34BC6F68"/>
    <w:numStyleLink w:val="NoteTaking"/>
  </w:abstractNum>
  <w:abstractNum w:abstractNumId="1">
    <w:nsid w:val="5704748D"/>
    <w:multiLevelType w:val="hybridMultilevel"/>
    <w:tmpl w:val="34BC6F68"/>
    <w:styleLink w:val="NoteTaking"/>
    <w:lvl w:ilvl="0" w:tplc="53AECA80">
      <w:start w:val="1"/>
      <w:numFmt w:val="bullet"/>
      <w:lvlText w:val="-"/>
      <w:lvlJc w:val="left"/>
      <w:pPr>
        <w:ind w:left="280" w:hanging="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482BBB8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D5E11E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168AE9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105290A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5C22DA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1B8ED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2BCA18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380EF9D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 w:tplc="B3BA7406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A6A698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1441AF0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B1E92D8">
        <w:start w:val="1"/>
        <w:numFmt w:val="bullet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4EA9A80">
        <w:start w:val="1"/>
        <w:numFmt w:val="bullet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0DE9C0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FE4DC0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B046DE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E7E493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07"/>
    <w:rsid w:val="001E3FB4"/>
    <w:rsid w:val="00322AAC"/>
    <w:rsid w:val="003E53BE"/>
    <w:rsid w:val="00471822"/>
    <w:rsid w:val="00575C93"/>
    <w:rsid w:val="00746F97"/>
    <w:rsid w:val="00753DBC"/>
    <w:rsid w:val="007870F4"/>
    <w:rsid w:val="00844C39"/>
    <w:rsid w:val="009C1189"/>
    <w:rsid w:val="00CD20D3"/>
    <w:rsid w:val="00D618A9"/>
    <w:rsid w:val="00F03B72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7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602</Words>
  <Characters>3435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Thomas Faber</cp:lastModifiedBy>
  <cp:revision>9</cp:revision>
  <dcterms:created xsi:type="dcterms:W3CDTF">2016-05-30T15:46:00Z</dcterms:created>
  <dcterms:modified xsi:type="dcterms:W3CDTF">2016-06-07T16:14:00Z</dcterms:modified>
</cp:coreProperties>
</file>