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60"/>
      </w:pPr>
      <w:r>
        <w:t xml:space="preserve">Coin &amp; Token Development</w:t>
      </w:r>
    </w:p>
    <w:p>
      <w:pPr>
        <w:spacing w:after="160"/>
      </w:pPr>
      <w:r>
        <w:rPr>
          <w:i/>
          <w:iCs/>
        </w:rPr>
        <w:t xml:space="preserve">Suggested URL: quecko.com/services/web3/coin-token-development</w:t>
      </w:r>
    </w:p>
    <w:p>
      <w:pPr>
        <w:spacing w:after="100"/>
      </w:pPr>
      <w:r>
        <w:rPr>
          <w:b/>
          <w:bCs/>
        </w:rPr>
        <w:t xml:space="preserve">Meta Title: </w:t>
      </w:r>
      <w:r>
        <w:t xml:space="preserve">Coin &amp; Token Development Services — Tokenomics &amp; ICO | Quecko</w:t>
      </w:r>
    </w:p>
    <w:p>
      <w:pPr>
        <w:spacing w:after="100"/>
      </w:pPr>
      <w:r>
        <w:rPr>
          <w:b/>
          <w:bCs/>
        </w:rPr>
        <w:t xml:space="preserve">Meta Description: </w:t>
      </w:r>
      <w:r>
        <w:t xml:space="preserve">Quecko develops custom coins and tokens — native chains, ERC-20/BEP-20/SPL standards, ICO infrastructure, and tokenomics engineering built for long-term value.</w:t>
      </w:r>
    </w:p>
    <w:p>
      <w:pPr>
        <w:spacing w:after="100"/>
      </w:pPr>
      <w:r>
        <w:rPr>
          <w:b/>
          <w:bCs/>
        </w:rPr>
        <w:t xml:space="preserve">One-Line Positioning: </w:t>
      </w:r>
      <w:r>
        <w:t xml:space="preserve">Tokens engineered to survive their first bear market, not just their launch week.</w:t>
      </w:r>
    </w:p>
    <w:p>
      <w:pPr>
        <w:pBdr>
          <w:bottom w:val="single" w:color="999999" w:sz="6" w:space="1"/>
        </w:pBdr>
        <w:spacing w:after="220"/>
      </w:pPr>
    </w:p>
    <w:p>
      <w:pPr>
        <w:pStyle w:val="Heading2"/>
        <w:spacing w:after="130" w:before="320"/>
      </w:pPr>
      <w:r>
        <w:t xml:space="preserve">Developer Build Spec — Page Layout &amp; Section Order</w:t>
      </w:r>
    </w:p>
    <w:p>
      <w:pPr>
        <w:spacing w:after="140"/>
      </w:pPr>
      <w:r>
        <w:t xml:space="preserve">This is the full section order for this page, top to bottom, with layout and component notes for each. Content for every section below follows in the same order.</w:t>
      </w:r>
    </w:p>
    <w:p>
      <w:pPr>
        <w:pStyle w:val="Heading3"/>
        <w:spacing w:after="80" w:before="200"/>
      </w:pPr>
      <w:r>
        <w:t xml:space="preserve">1. Hero</w:t>
      </w:r>
    </w:p>
    <w:p>
      <w:pPr>
        <w:spacing w:after="140"/>
      </w:pPr>
      <w:r>
        <w:t xml:space="preserve">Full-bleed background (video loop or an animated tokenomics chart — a supply/emission curve drawing itself in real time, with vesting cliffs marked along the timeline). Headline (2 rotating/A-B testable variants provided below), one-line subhead, dual CTA buttons, and the standard 4-stat ticker row underneath.</w:t>
      </w:r>
    </w:p>
    <w:p>
      <w:pPr>
        <w:pStyle w:val="Heading3"/>
        <w:spacing w:after="80" w:before="200"/>
      </w:pPr>
      <w:r>
        <w:t xml:space="preserve">2. Every Ecosystem Needs a Unit of Account</w:t>
      </w:r>
    </w:p>
    <w:p>
      <w:pPr>
        <w:spacing w:after="140"/>
      </w:pPr>
      <w:r>
        <w:t xml:space="preserve">Split two-column layout — text block on the left, a large single stat or lightweight animated icon on the right. Short section (150–200 words), sets context before the problem statement. Not a repeat of the hero.</w:t>
      </w:r>
    </w:p>
    <w:p>
      <w:pPr>
        <w:pStyle w:val="Heading3"/>
        <w:spacing w:after="80" w:before="200"/>
      </w:pPr>
      <w:r>
        <w:t xml:space="preserve">3. Why Most Tokens Die Within Their First Year</w:t>
      </w:r>
    </w:p>
    <w:p>
      <w:pPr>
        <w:spacing w:after="140"/>
      </w:pPr>
      <w:r>
        <w:t xml:space="preserve">Centered narrative paragraph, followed by a two-column "Old Way vs. Quecko Way" comparison list — undefined</w:t>
      </w:r>
    </w:p>
    <w:p>
      <w:pPr>
        <w:pStyle w:val="Heading3"/>
        <w:spacing w:after="80" w:before="200"/>
      </w:pPr>
      <w:r>
        <w:t xml:space="preserve">4. From Tokenomics Model to Exchange Listing</w:t>
      </w:r>
    </w:p>
    <w:p>
      <w:pPr>
        <w:spacing w:after="140"/>
      </w:pPr>
      <w:r>
        <w:t xml:space="preserve">Horizontal scroll-triggered stepper/timeline component (5 steps) — reuse the existing numbered-step animation pattern from the Layer 1/2 and DeFi pages, extended from 4 to 5 steps.</w:t>
      </w:r>
    </w:p>
    <w:p>
      <w:pPr>
        <w:pStyle w:val="Heading3"/>
        <w:spacing w:after="80" w:before="200"/>
      </w:pPr>
      <w:r>
        <w:t xml:space="preserve">5. Capabilities</w:t>
      </w:r>
    </w:p>
    <w:p>
      <w:pPr>
        <w:spacing w:after="140"/>
      </w:pPr>
      <w:r>
        <w:t xml:space="preserve">6–8 card grid, same visual pattern as existing site cards, but add a small custom icon per card (not just text) — this is the single biggest 'empty space' fix across all 13 pages.</w:t>
      </w:r>
    </w:p>
    <w:p>
      <w:pPr>
        <w:pStyle w:val="Heading3"/>
        <w:spacing w:after="80" w:before="200"/>
      </w:pPr>
      <w:r>
        <w:t xml:space="preserve">6. Tokenomics Benchmarks We Build To</w:t>
      </w:r>
    </w:p>
    <w:p>
      <w:pPr>
        <w:spacing w:after="140"/>
      </w:pPr>
      <w:r>
        <w:t xml:space="preserve">Horizontal strip of 4 large-numeral stat callouts with a one-line caption under each — visually distinct from the hero stat ticker (different styling/weight), positioned as a mid-page credibility break.</w:t>
      </w:r>
    </w:p>
    <w:p>
      <w:pPr>
        <w:pStyle w:val="Heading3"/>
        <w:spacing w:after="80" w:before="200"/>
      </w:pPr>
      <w:r>
        <w:t xml:space="preserve">7. Ecosystem / Chain Coverage</w:t>
      </w:r>
    </w:p>
    <w:p>
      <w:pPr>
        <w:spacing w:after="140"/>
      </w:pPr>
      <w:r>
        <w:t xml:space="preserve">Logo grid matching the existing Layer 1/2 page pattern — this section is currently missing on several pages and is a direct fix for empty space.</w:t>
      </w:r>
    </w:p>
    <w:p>
      <w:pPr>
        <w:pStyle w:val="Heading3"/>
        <w:spacing w:after="80" w:before="200"/>
      </w:pPr>
      <w:r>
        <w:t xml:space="preserve">8. Technology Stack</w:t>
      </w:r>
    </w:p>
    <w:p>
      <w:pPr>
        <w:spacing w:after="140"/>
      </w:pPr>
      <w:r>
        <w:t xml:space="preserve">Grouped icon list by category, same pattern as the existing Layer 1/2 page's Technology section.</w:t>
      </w:r>
    </w:p>
    <w:p>
      <w:pPr>
        <w:pStyle w:val="Heading3"/>
        <w:spacing w:after="80" w:before="200"/>
      </w:pPr>
      <w:r>
        <w:t xml:space="preserve">9. Token Design Mistakes We Engineer Around</w:t>
      </w:r>
    </w:p>
    <w:p>
      <w:pPr>
        <w:spacing w:after="140"/>
      </w:pPr>
      <w:r>
        <w:t xml:space="preserve">Icon-list or accordion component — undefined This is new content not currently on the site; treat it as a trust/credibility section, positioned right before the differentiators section.</w:t>
      </w:r>
    </w:p>
    <w:p>
      <w:pPr>
        <w:pStyle w:val="Heading3"/>
        <w:spacing w:after="80" w:before="200"/>
      </w:pPr>
      <w:r>
        <w:t xml:space="preserve">10. Why Projects Choose Quecko</w:t>
      </w:r>
    </w:p>
    <w:p>
      <w:pPr>
        <w:spacing w:after="140"/>
      </w:pPr>
      <w:r>
        <w:t xml:space="preserve">4-card differentiator grid, same pattern as existing 'Our Edge' section.</w:t>
      </w:r>
    </w:p>
    <w:p>
      <w:pPr>
        <w:pStyle w:val="Heading3"/>
        <w:spacing w:after="80" w:before="200"/>
      </w:pPr>
      <w:r>
        <w:t xml:space="preserve">11. Engagement Models</w:t>
      </w:r>
    </w:p>
    <w:p>
      <w:pPr>
        <w:spacing w:after="140"/>
      </w:pPr>
      <w:r>
        <w:t xml:space="preserve">3-card grid — add an indicative timeframe/format badge on each card (e.g. '8–12 weeks', 'Ongoing retainer') since this detail is currently missing site-wide and buyers look for it immediately.</w:t>
      </w:r>
    </w:p>
    <w:p>
      <w:pPr>
        <w:pStyle w:val="Heading3"/>
        <w:spacing w:after="80" w:before="200"/>
      </w:pPr>
      <w:r>
        <w:t xml:space="preserve">12. Proof in Production</w:t>
      </w:r>
    </w:p>
    <w:p>
      <w:pPr>
        <w:spacing w:after="140"/>
      </w:pPr>
      <w:r>
        <w:t xml:space="preserve">Reuse the existing portfolio video-grid component, filtered to the most relevant 2–4 projects for this specific service — do not fabricate a case study; pull from the real portfolio library.</w:t>
      </w:r>
    </w:p>
    <w:p>
      <w:pPr>
        <w:pStyle w:val="Heading3"/>
        <w:spacing w:after="80" w:before="200"/>
      </w:pPr>
      <w:r>
        <w:t xml:space="preserve">13. Testimonial</w:t>
      </w:r>
    </w:p>
    <w:p>
      <w:pPr>
        <w:spacing w:after="140"/>
      </w:pPr>
      <w:r>
        <w:t xml:space="preserve">Reuse the existing testimonial video/quote component as-is.</w:t>
      </w:r>
    </w:p>
    <w:p>
      <w:pPr>
        <w:pStyle w:val="Heading3"/>
        <w:spacing w:after="80" w:before="200"/>
      </w:pPr>
      <w:r>
        <w:t xml:space="preserve">14. FAQ</w:t>
      </w:r>
    </w:p>
    <w:p>
      <w:pPr>
        <w:spacing w:after="140"/>
      </w:pPr>
      <w:r>
        <w:t xml:space="preserve">Accordion component, same pattern as existing FAQ sections, expanded to 6 questions with deeper answers (provided below).</w:t>
      </w:r>
    </w:p>
    <w:p>
      <w:pPr>
        <w:pStyle w:val="Heading3"/>
        <w:spacing w:after="80" w:before="200"/>
      </w:pPr>
      <w:r>
        <w:t xml:space="preserve">15. Closing CTA</w:t>
      </w:r>
    </w:p>
    <w:p>
      <w:pPr>
        <w:spacing w:after="140"/>
      </w:pPr>
      <w:r>
        <w:t xml:space="preserve">Standard closing banner with the two CTA variants provided below.</w:t>
      </w:r>
    </w:p>
    <w:p>
      <w:pPr>
        <w:pBdr>
          <w:bottom w:val="single" w:color="999999" w:sz="6" w:space="1"/>
        </w:pBdr>
        <w:spacing w:after="220"/>
      </w:pPr>
    </w:p>
    <w:p>
      <w:pPr>
        <w:pStyle w:val="Heading2"/>
        <w:spacing w:after="130" w:before="320"/>
      </w:pPr>
      <w:r>
        <w:t xml:space="preserve">1. Hero</w:t>
      </w:r>
    </w:p>
    <w:p>
      <w:pPr>
        <w:pStyle w:val="Heading3"/>
        <w:spacing w:after="80" w:before="200"/>
      </w:pPr>
      <w:r>
        <w:t xml:space="preserve">Headline — Option A</w:t>
      </w:r>
    </w:p>
    <w:p>
      <w:pPr>
        <w:spacing w:after="140"/>
      </w:pPr>
      <w:r>
        <w:t xml:space="preserve">Tokenomics That Hold Up After Launch Week Ends.</w:t>
      </w:r>
    </w:p>
    <w:p>
      <w:pPr>
        <w:pStyle w:val="Heading3"/>
        <w:spacing w:after="80" w:before="200"/>
      </w:pPr>
      <w:r>
        <w:t xml:space="preserve">Headline — Option B</w:t>
      </w:r>
    </w:p>
    <w:p>
      <w:pPr>
        <w:spacing w:after="140"/>
      </w:pPr>
      <w:r>
        <w:t xml:space="preserve">The Code Is the Easy Part.</w:t>
      </w:r>
    </w:p>
    <w:p>
      <w:pPr>
        <w:pStyle w:val="Heading3"/>
        <w:spacing w:after="80" w:before="200"/>
      </w:pPr>
      <w:r>
        <w:t xml:space="preserve">Subheadline</w:t>
      </w:r>
    </w:p>
    <w:p>
      <w:pPr>
        <w:spacing w:after="140"/>
      </w:pPr>
      <w:r>
        <w:t xml:space="preserve">Quecko develops coins and tokens across every major standard — from native blockchain coins to ERC-20/BEP-20/SPL tokens — backed by tokenomics engineering designed for sustainable value, with a fully supported ICO path when you need to raise capital.</w:t>
      </w:r>
    </w:p>
    <w:p>
      <w:pPr>
        <w:spacing w:after="160"/>
      </w:pPr>
      <w:r>
        <w:rPr>
          <w:i/>
          <w:iCs/>
        </w:rPr>
        <w:t xml:space="preserve">CTA Buttons: "Talk to a Token Engineer"  /  "Explore Our Work"</w:t>
      </w:r>
    </w:p>
    <w:p>
      <w:pPr>
        <w:spacing w:after="140"/>
      </w:pPr>
      <w:r>
        <w:t xml:space="preserve">Stat ticker (standard, reused site-wide): 400+ clients across 20+ countries · $300M+ in funds generated · 250+ products built · 150+ engineers worldwide</w:t>
      </w:r>
    </w:p>
    <w:p>
      <w:pPr>
        <w:pStyle w:val="Heading2"/>
        <w:spacing w:after="130" w:before="320"/>
      </w:pPr>
      <w:r>
        <w:t xml:space="preserve">2. Every Ecosystem Needs a Unit of Account</w:t>
      </w:r>
    </w:p>
    <w:p>
      <w:pPr>
        <w:spacing w:after="140"/>
      </w:pPr>
      <w:r>
        <w:t xml:space="preserve">Nearly every Web3 product Quecko builds — a DeFi protocol, a launchpad, a gaming ecosystem, a DAO — eventually needs a native token to align incentives, govern the protocol, or capture value for its community, which makes token engineering one of the most universally requested capabilities across the entire Web3 stack rather than a standalone niche service. What separates a token that becomes genuine long-term infrastructure from one that becomes a cautionary tale is almost never the smart contract code itself — it's whether the underlying economic model was actually modeled rigorously before launch.</w:t>
      </w:r>
    </w:p>
    <w:p>
      <w:pPr>
        <w:pStyle w:val="Heading2"/>
        <w:spacing w:after="130" w:before="320"/>
      </w:pPr>
      <w:r>
        <w:t xml:space="preserve">3. Why Most Tokens Die Within Their First Year</w:t>
      </w:r>
    </w:p>
    <w:p>
      <w:pPr>
        <w:spacing w:after="140"/>
      </w:pPr>
      <w:r>
        <w:t xml:space="preserve">Minting a token is trivial — any team can copy an ERC-20 template in an afternoon. Designing one that holds value under real market conditions is a completely different and much harder problem. Supply schedules, vesting cliffs, and incentive structures that look perfectly reasonable on a spreadsheet routinely break down once early holders and team members start selling into thin early liquidity. The difference between a token that survives its first genuine bear market and one that doesn't collapse to near-zero comes down almost entirely to the economic modeling done before launch, not the Solidity code, which is genuinely the easy part of the engagement.</w:t>
      </w:r>
    </w:p>
    <w:p>
      <w:pPr>
        <w:pStyle w:val="Heading3"/>
        <w:spacing w:after="80" w:before="200"/>
      </w:pPr>
      <w:r>
        <w:t xml:space="preserve">The Old Way</w:t>
      </w:r>
    </w:p>
    <w:p>
      <w:pPr>
        <w:pStyle w:val="ListParagraph"/>
        <w:numPr>
          <w:ilvl w:val="0"/>
          <w:numId w:val="2"/>
        </w:numPr>
        <w:spacing w:after="70"/>
      </w:pPr>
      <w:r>
        <w:t xml:space="preserve">Copy a token contract template, set a supply number, and call tokenomics 'done'</w:t>
      </w:r>
    </w:p>
    <w:p>
      <w:pPr>
        <w:pStyle w:val="ListParagraph"/>
        <w:numPr>
          <w:ilvl w:val="0"/>
          <w:numId w:val="2"/>
        </w:numPr>
        <w:spacing w:after="70"/>
      </w:pPr>
      <w:r>
        <w:t xml:space="preserve">Design vesting schedules without modeling what happens when they unlock into thin liquidity</w:t>
      </w:r>
    </w:p>
    <w:p>
      <w:pPr>
        <w:pStyle w:val="ListParagraph"/>
        <w:numPr>
          <w:ilvl w:val="0"/>
          <w:numId w:val="2"/>
        </w:numPr>
        <w:spacing w:after="70"/>
      </w:pPr>
      <w:r>
        <w:t xml:space="preserve">Launch an ICO with no legal classification review of what the token actually is</w:t>
      </w:r>
    </w:p>
    <w:p>
      <w:pPr>
        <w:pStyle w:val="ListParagraph"/>
        <w:numPr>
          <w:ilvl w:val="0"/>
          <w:numId w:val="2"/>
        </w:numPr>
        <w:spacing w:after="70"/>
      </w:pPr>
      <w:r>
        <w:t xml:space="preserve">Treat governance and staking as a marketing feature rather than a genuine incentive mechanism</w:t>
      </w:r>
    </w:p>
    <w:p>
      <w:pPr>
        <w:pStyle w:val="Heading3"/>
        <w:spacing w:after="80" w:before="200"/>
      </w:pPr>
      <w:r>
        <w:t xml:space="preserve">The Quecko Way</w:t>
      </w:r>
    </w:p>
    <w:p>
      <w:pPr>
        <w:pStyle w:val="ListParagraph"/>
        <w:numPr>
          <w:ilvl w:val="0"/>
          <w:numId w:val="2"/>
        </w:numPr>
        <w:spacing w:after="70"/>
      </w:pPr>
      <w:r>
        <w:t xml:space="preserve">Model supply, emission, and incentive structures against realistic multi-year market scenarios before writing code</w:t>
      </w:r>
    </w:p>
    <w:p>
      <w:pPr>
        <w:pStyle w:val="ListParagraph"/>
        <w:numPr>
          <w:ilvl w:val="0"/>
          <w:numId w:val="2"/>
        </w:numPr>
        <w:spacing w:after="70"/>
      </w:pPr>
      <w:r>
        <w:t xml:space="preserve">Explicitly simulate vesting unlock events against expected liquidity depth at each cliff date</w:t>
      </w:r>
    </w:p>
    <w:p>
      <w:pPr>
        <w:pStyle w:val="ListParagraph"/>
        <w:numPr>
          <w:ilvl w:val="0"/>
          <w:numId w:val="2"/>
        </w:numPr>
        <w:spacing w:after="70"/>
      </w:pPr>
      <w:r>
        <w:t xml:space="preserve">Coordinate token classification review with legal structuring before any public sale begins</w:t>
      </w:r>
    </w:p>
    <w:p>
      <w:pPr>
        <w:pStyle w:val="ListParagraph"/>
        <w:numPr>
          <w:ilvl w:val="0"/>
          <w:numId w:val="2"/>
        </w:numPr>
        <w:spacing w:after="70"/>
      </w:pPr>
      <w:r>
        <w:t xml:space="preserve">Design governance and staking mechanics tied to genuine long-term protocol incentives, not just launch-day marketing</w:t>
      </w:r>
    </w:p>
    <w:p>
      <w:pPr>
        <w:pStyle w:val="Heading2"/>
        <w:spacing w:after="130" w:before="320"/>
      </w:pPr>
      <w:r>
        <w:t xml:space="preserve">4. From Tokenomics Model to Exchange Listing</w:t>
      </w:r>
    </w:p>
    <w:p>
      <w:pPr>
        <w:spacing w:after="60" w:before="160"/>
      </w:pPr>
      <w:r>
        <w:rPr>
          <w:b/>
          <w:bCs/>
          <w:sz w:val="24"/>
          <w:szCs w:val="24"/>
        </w:rPr>
        <w:t xml:space="preserve">1. Tokenomics &amp; Standard Selection</w:t>
      </w:r>
    </w:p>
    <w:p>
      <w:pPr>
        <w:spacing w:after="140"/>
      </w:pPr>
      <w:r>
        <w:t xml:space="preserve">Model supply, utility, and incentive structures in detail, and select the right token standard and target chain for your specific ecosystem and user base.</w:t>
      </w:r>
    </w:p>
    <w:p>
      <w:pPr>
        <w:spacing w:after="60" w:before="160"/>
      </w:pPr>
      <w:r>
        <w:rPr>
          <w:b/>
          <w:bCs/>
          <w:sz w:val="24"/>
          <w:szCs w:val="24"/>
        </w:rPr>
        <w:t xml:space="preserve">2. Contract Development &amp; Testing</w:t>
      </w:r>
    </w:p>
    <w:p>
      <w:pPr>
        <w:spacing w:after="140"/>
      </w:pPr>
      <w:r>
        <w:t xml:space="preserve">Build the token contract — and native coin/chain infrastructure if your project requires a sovereign asset rather than a token on an existing chain — with full test coverage.</w:t>
      </w:r>
    </w:p>
    <w:p>
      <w:pPr>
        <w:spacing w:after="60" w:before="160"/>
      </w:pPr>
      <w:r>
        <w:rPr>
          <w:b/>
          <w:bCs/>
          <w:sz w:val="24"/>
          <w:szCs w:val="24"/>
        </w:rPr>
        <w:t xml:space="preserve">3. Security Audit</w:t>
      </w:r>
    </w:p>
    <w:p>
      <w:pPr>
        <w:spacing w:after="140"/>
      </w:pPr>
      <w:r>
        <w:t xml:space="preserve">Independent third-party audit before any mainnet deployment, covering both contract-level security and a review of the underlying tokenomics assumptions for internal consistency.</w:t>
      </w:r>
    </w:p>
    <w:p>
      <w:pPr>
        <w:spacing w:after="60" w:before="160"/>
      </w:pPr>
      <w:r>
        <w:rPr>
          <w:b/>
          <w:bCs/>
          <w:sz w:val="24"/>
          <w:szCs w:val="24"/>
        </w:rPr>
        <w:t xml:space="preserve">4. Sale Infrastructure (Where Applicable)</w:t>
      </w:r>
    </w:p>
    <w:p>
      <w:pPr>
        <w:spacing w:after="140"/>
      </w:pPr>
      <w:r>
        <w:t xml:space="preserve">If a token sale is part of the launch, build KYC-gated sale contracts, investor dashboards, and automated vesting infrastructure in coordination with legal structuring for the offering.</w:t>
      </w:r>
    </w:p>
    <w:p>
      <w:pPr>
        <w:spacing w:after="60" w:before="160"/>
      </w:pPr>
      <w:r>
        <w:rPr>
          <w:b/>
          <w:bCs/>
          <w:sz w:val="24"/>
          <w:szCs w:val="24"/>
        </w:rPr>
        <w:t xml:space="preserve">5. Launch &amp; Listing Support</w:t>
      </w:r>
    </w:p>
    <w:p>
      <w:pPr>
        <w:spacing w:after="140"/>
      </w:pPr>
      <w:r>
        <w:t xml:space="preserve">Deployment, liquidity setup, exchange listing preparation, and — where a public sale occurred — automated post-sale token distribution.</w:t>
      </w:r>
    </w:p>
    <w:p>
      <w:pPr>
        <w:pStyle w:val="Heading2"/>
        <w:spacing w:after="130" w:before="320"/>
      </w:pPr>
      <w:r>
        <w:t xml:space="preserve">5. Capabilities</w:t>
      </w:r>
    </w:p>
    <w:p>
      <w:pPr>
        <w:pStyle w:val="Heading3"/>
        <w:spacing w:after="80" w:before="200"/>
      </w:pPr>
      <w:r>
        <w:t xml:space="preserve">Native Coin &amp; Chain Development</w:t>
      </w:r>
    </w:p>
    <w:p>
      <w:pPr>
        <w:spacing w:after="140"/>
      </w:pPr>
      <w:r>
        <w:t xml:space="preserve">Full sovereign coin and chain infrastructure for projects that need their own native asset securing an underlying network, not just a token deployed on someone else's chain.</w:t>
      </w:r>
    </w:p>
    <w:p>
      <w:pPr>
        <w:pStyle w:val="Heading3"/>
        <w:spacing w:after="80" w:before="200"/>
      </w:pPr>
      <w:r>
        <w:t xml:space="preserve">Standard Token Issuance</w:t>
      </w:r>
    </w:p>
    <w:p>
      <w:pPr>
        <w:spacing w:after="140"/>
      </w:pPr>
      <w:r>
        <w:t xml:space="preserve">ERC-20, BEP-20, SPL, and TRC-20 token development matched precisely to your target ecosystem's technical and liquidity conventions.</w:t>
      </w:r>
    </w:p>
    <w:p>
      <w:pPr>
        <w:pStyle w:val="Heading3"/>
        <w:spacing w:after="80" w:before="200"/>
      </w:pPr>
      <w:r>
        <w:t xml:space="preserve">Tokenomics Design</w:t>
      </w:r>
    </w:p>
    <w:p>
      <w:pPr>
        <w:spacing w:after="140"/>
      </w:pPr>
      <w:r>
        <w:t xml:space="preserve">Supply, emission, vesting, and utility modeling stress-tested against realistic multi-year market scenarios, not just optimistic launch-day assumptions that ignore what happens at the first major unlock.</w:t>
      </w:r>
    </w:p>
    <w:p>
      <w:pPr>
        <w:pStyle w:val="Heading3"/>
        <w:spacing w:after="80" w:before="200"/>
      </w:pPr>
      <w:r>
        <w:t xml:space="preserve">ICO / Token Sale Infrastructure</w:t>
      </w:r>
    </w:p>
    <w:p>
      <w:pPr>
        <w:spacing w:after="140"/>
      </w:pPr>
      <w:r>
        <w:t xml:space="preserve">Smart contract-based sale mechanics, KYC-gated participation, investor dashboards, and fully automated vesting and distribution, built as a direct extension of the token engagement rather than a disconnected add-on.</w:t>
      </w:r>
    </w:p>
    <w:p>
      <w:pPr>
        <w:pStyle w:val="Heading3"/>
        <w:spacing w:after="80" w:before="200"/>
      </w:pPr>
      <w:r>
        <w:t xml:space="preserve">Governance &amp; Staking Mechanics</w:t>
      </w:r>
    </w:p>
    <w:p>
      <w:pPr>
        <w:spacing w:after="140"/>
      </w:pPr>
      <w:r>
        <w:t xml:space="preserve">On-chain governance and staking systems tied genuinely to token utility and long-term holder incentives, designed to reward sustained participation rather than short-term speculation alone.</w:t>
      </w:r>
    </w:p>
    <w:p>
      <w:pPr>
        <w:pStyle w:val="Heading3"/>
        <w:spacing w:after="80" w:before="200"/>
      </w:pPr>
      <w:r>
        <w:t xml:space="preserve">Semi-Fungible &amp; Utility Tokens</w:t>
      </w:r>
    </w:p>
    <w:p>
      <w:pPr>
        <w:spacing w:after="140"/>
      </w:pPr>
      <w:r>
        <w:t xml:space="preserve">ERC-1155-based semi-fungible tokens for tickets, in-game items, and hybrid fungible/non-fungible use cases that don't fit cleanly into a standard ERC-20 or ERC-721 model.</w:t>
      </w:r>
    </w:p>
    <w:p>
      <w:pPr>
        <w:pStyle w:val="Heading2"/>
        <w:spacing w:after="130" w:before="320"/>
      </w:pPr>
      <w:r>
        <w:t xml:space="preserve">6. Tokenomics Benchmarks We Build To</w:t>
      </w:r>
    </w:p>
    <w:p>
      <w:pPr>
        <w:pStyle w:val="ListParagraph"/>
        <w:numPr>
          <w:ilvl w:val="0"/>
          <w:numId w:val="2"/>
        </w:numPr>
        <w:spacing w:after="80"/>
      </w:pPr>
      <w:r>
        <w:rPr>
          <w:b/>
          <w:bCs/>
        </w:rPr>
        <w:t xml:space="preserve">Multi-year scenario modeling — </w:t>
      </w:r>
      <w:r>
        <w:t xml:space="preserve">supply and emission schedules stress-tested well beyond the first year post-launch</w:t>
      </w:r>
    </w:p>
    <w:p>
      <w:pPr>
        <w:pStyle w:val="ListParagraph"/>
        <w:numPr>
          <w:ilvl w:val="0"/>
          <w:numId w:val="2"/>
        </w:numPr>
        <w:spacing w:after="80"/>
      </w:pPr>
      <w:r>
        <w:rPr>
          <w:b/>
          <w:bCs/>
        </w:rPr>
        <w:t xml:space="preserve">Unlock-event liquidity simulation — </w:t>
      </w:r>
      <w:r>
        <w:t xml:space="preserve">every vesting cliff modeled against expected available liquidity at that date</w:t>
      </w:r>
    </w:p>
    <w:p>
      <w:pPr>
        <w:pStyle w:val="ListParagraph"/>
        <w:numPr>
          <w:ilvl w:val="0"/>
          <w:numId w:val="2"/>
        </w:numPr>
        <w:spacing w:after="80"/>
      </w:pPr>
      <w:r>
        <w:rPr>
          <w:b/>
          <w:bCs/>
        </w:rPr>
        <w:t xml:space="preserve">Classification review before sale — </w:t>
      </w:r>
      <w:r>
        <w:t xml:space="preserve">coordinated with legal structuring prior to any public ICO going live</w:t>
      </w:r>
    </w:p>
    <w:p>
      <w:pPr>
        <w:pStyle w:val="ListParagraph"/>
        <w:numPr>
          <w:ilvl w:val="0"/>
          <w:numId w:val="2"/>
        </w:numPr>
        <w:spacing w:after="80"/>
      </w:pPr>
      <w:r>
        <w:rPr>
          <w:b/>
          <w:bCs/>
        </w:rPr>
        <w:t xml:space="preserve">Full audit before mainnet — </w:t>
      </w:r>
      <w:r>
        <w:t xml:space="preserve">both code security and tokenomics logic reviewed prior to any deployment</w:t>
      </w:r>
    </w:p>
    <w:p>
      <w:pPr>
        <w:pStyle w:val="Heading2"/>
        <w:spacing w:after="130" w:before="320"/>
      </w:pPr>
      <w:r>
        <w:t xml:space="preserve">7. Ecosystem / Chain Coverage</w:t>
      </w:r>
    </w:p>
    <w:p>
      <w:pPr>
        <w:pStyle w:val="ListParagraph"/>
        <w:numPr>
          <w:ilvl w:val="0"/>
          <w:numId w:val="2"/>
        </w:numPr>
        <w:spacing w:after="80"/>
      </w:pPr>
      <w:r>
        <w:rPr>
          <w:b/>
          <w:bCs/>
        </w:rPr>
        <w:t xml:space="preserve">Ethereum &amp; L2s — </w:t>
      </w:r>
      <w:r>
        <w:t xml:space="preserve">ERC-20/1155 token standards with L2 deployment for lower transaction costs.</w:t>
      </w:r>
    </w:p>
    <w:p>
      <w:pPr>
        <w:pStyle w:val="ListParagraph"/>
        <w:numPr>
          <w:ilvl w:val="0"/>
          <w:numId w:val="2"/>
        </w:numPr>
        <w:spacing w:after="80"/>
      </w:pPr>
      <w:r>
        <w:rPr>
          <w:b/>
          <w:bCs/>
        </w:rPr>
        <w:t xml:space="preserve">BNB Chain — </w:t>
      </w:r>
      <w:r>
        <w:t xml:space="preserve">BEP-20 token issuance for cost-efficient retail ecosystems.</w:t>
      </w:r>
    </w:p>
    <w:p>
      <w:pPr>
        <w:pStyle w:val="ListParagraph"/>
        <w:numPr>
          <w:ilvl w:val="0"/>
          <w:numId w:val="2"/>
        </w:numPr>
        <w:spacing w:after="80"/>
      </w:pPr>
      <w:r>
        <w:rPr>
          <w:b/>
          <w:bCs/>
        </w:rPr>
        <w:t xml:space="preserve">Solana — </w:t>
      </w:r>
      <w:r>
        <w:t xml:space="preserve">SPL token standard development for high-throughput ecosystems.</w:t>
      </w:r>
    </w:p>
    <w:p>
      <w:pPr>
        <w:pStyle w:val="ListParagraph"/>
        <w:numPr>
          <w:ilvl w:val="0"/>
          <w:numId w:val="2"/>
        </w:numPr>
        <w:spacing w:after="80"/>
      </w:pPr>
      <w:r>
        <w:rPr>
          <w:b/>
          <w:bCs/>
        </w:rPr>
        <w:t xml:space="preserve">Tron — </w:t>
      </w:r>
      <w:r>
        <w:t xml:space="preserve">TRC-20 token issuance for payment and remittance-focused use cases.</w:t>
      </w:r>
    </w:p>
    <w:p>
      <w:pPr>
        <w:pStyle w:val="Heading2"/>
        <w:spacing w:after="130" w:before="320"/>
      </w:pPr>
      <w:r>
        <w:t xml:space="preserve">8. Technology Stack</w:t>
      </w:r>
    </w:p>
    <w:p>
      <w:pPr>
        <w:pStyle w:val="Heading3"/>
        <w:spacing w:after="80" w:before="200"/>
      </w:pPr>
      <w:r>
        <w:t xml:space="preserve">Languages</w:t>
      </w:r>
    </w:p>
    <w:p>
      <w:pPr>
        <w:spacing w:after="140"/>
      </w:pPr>
      <w:r>
        <w:t xml:space="preserve">Solidity, Rust</w:t>
      </w:r>
    </w:p>
    <w:p>
      <w:pPr>
        <w:pStyle w:val="Heading3"/>
        <w:spacing w:after="80" w:before="200"/>
      </w:pPr>
      <w:r>
        <w:t xml:space="preserve">Frameworks</w:t>
      </w:r>
    </w:p>
    <w:p>
      <w:pPr>
        <w:spacing w:after="140"/>
      </w:pPr>
      <w:r>
        <w:t xml:space="preserve">OpenZeppelin Contracts, Foundry, Hardhat, Anchor (Solana)</w:t>
      </w:r>
    </w:p>
    <w:p>
      <w:pPr>
        <w:pStyle w:val="Heading3"/>
        <w:spacing w:after="80" w:before="200"/>
      </w:pPr>
      <w:r>
        <w:t xml:space="preserve">Tokenomics Modeling</w:t>
      </w:r>
    </w:p>
    <w:p>
      <w:pPr>
        <w:spacing w:after="140"/>
      </w:pPr>
      <w:r>
        <w:t xml:space="preserve">Custom simulation tooling, Monte Carlo stress-testing scripts</w:t>
      </w:r>
    </w:p>
    <w:p>
      <w:pPr>
        <w:pStyle w:val="Heading3"/>
        <w:spacing w:after="80" w:before="200"/>
      </w:pPr>
      <w:r>
        <w:t xml:space="preserve">Security</w:t>
      </w:r>
    </w:p>
    <w:p>
      <w:pPr>
        <w:spacing w:after="140"/>
      </w:pPr>
      <w:r>
        <w:t xml:space="preserve">Slither, Mythril, third-party audit firms</w:t>
      </w:r>
    </w:p>
    <w:p>
      <w:pPr>
        <w:pStyle w:val="Heading2"/>
        <w:spacing w:after="130" w:before="320"/>
      </w:pPr>
      <w:r>
        <w:t xml:space="preserve">9. Token Design Mistakes We Engineer Around</w:t>
      </w:r>
    </w:p>
    <w:p>
      <w:pPr>
        <w:pStyle w:val="Heading3"/>
        <w:spacing w:after="80" w:before="200"/>
      </w:pPr>
      <w:r>
        <w:t xml:space="preserve">Cliff-Vesting Into Thin Liquidity</w:t>
      </w:r>
    </w:p>
    <w:p>
      <w:pPr>
        <w:spacing w:after="140"/>
      </w:pPr>
      <w:r>
        <w:t xml:space="preserve">A large vesting unlock hitting a market with insufficient liquidity depth routinely crashes token price on the unlock date, regardless of the project's underlying fundamentals. We simulate every major unlock against realistic liquidity projections before finalizing the vesting schedule.</w:t>
      </w:r>
    </w:p>
    <w:p>
      <w:pPr>
        <w:pStyle w:val="Heading3"/>
        <w:spacing w:after="80" w:before="200"/>
      </w:pPr>
      <w:r>
        <w:t xml:space="preserve">Unsustainable Emission Schedules</w:t>
      </w:r>
    </w:p>
    <w:p>
      <w:pPr>
        <w:spacing w:after="140"/>
      </w:pPr>
      <w:r>
        <w:t xml:space="preserve">Reward emissions calibrated purely to maximize early adoption metrics often prove economically unsustainable within months, diluting holders faster than genuine utility can offset. We model emission decay against realistic multi-year adoption curves, not just launch-quarter targets.</w:t>
      </w:r>
    </w:p>
    <w:p>
      <w:pPr>
        <w:pStyle w:val="Heading3"/>
        <w:spacing w:after="80" w:before="200"/>
      </w:pPr>
      <w:r>
        <w:t xml:space="preserve">Governance Tokens With No Real Governance</w:t>
      </w:r>
    </w:p>
    <w:p>
      <w:pPr>
        <w:spacing w:after="140"/>
      </w:pPr>
      <w:r>
        <w:t xml:space="preserve">Many 'governance tokens' grant voting rights over decisions that never meaningfully occur, making the governance utility hollow and reducing long-term holding incentive. We design governance scope to cover genuinely consequential protocol decisions.</w:t>
      </w:r>
    </w:p>
    <w:p>
      <w:pPr>
        <w:pStyle w:val="Heading3"/>
        <w:spacing w:after="80" w:before="200"/>
      </w:pPr>
      <w:r>
        <w:t xml:space="preserve">Classification Risk Discovered Post-Launch</w:t>
      </w:r>
    </w:p>
    <w:p>
      <w:pPr>
        <w:spacing w:after="140"/>
      </w:pPr>
      <w:r>
        <w:t xml:space="preserve">Launching a token sale without classification review risks a retroactive securities-law problem well after funds have already been raised and spent. We coordinate classification analysis with our Legal Structuring team before any public sale, not after.</w:t>
      </w:r>
    </w:p>
    <w:p>
      <w:pPr>
        <w:pStyle w:val="Heading2"/>
        <w:spacing w:after="130" w:before="320"/>
      </w:pPr>
      <w:r>
        <w:t xml:space="preserve">10. Why Projects Choose Quecko</w:t>
      </w:r>
    </w:p>
    <w:p>
      <w:pPr>
        <w:pStyle w:val="ListParagraph"/>
        <w:numPr>
          <w:ilvl w:val="0"/>
          <w:numId w:val="2"/>
        </w:numPr>
        <w:spacing w:after="80"/>
      </w:pPr>
      <w:r>
        <w:rPr>
          <w:b/>
          <w:bCs/>
        </w:rPr>
        <w:t xml:space="preserve">Economics Before Code — </w:t>
      </w:r>
      <w:r>
        <w:t xml:space="preserve">Every token engagement starts with tokenomics modeling, not a template contract adapted from a tutorial and lightly modified for your project's branding.</w:t>
      </w:r>
    </w:p>
    <w:p>
      <w:pPr>
        <w:pStyle w:val="ListParagraph"/>
        <w:numPr>
          <w:ilvl w:val="0"/>
          <w:numId w:val="2"/>
        </w:numPr>
        <w:spacing w:after="80"/>
      </w:pPr>
      <w:r>
        <w:rPr>
          <w:b/>
          <w:bCs/>
        </w:rPr>
        <w:t xml:space="preserve">Multi-Standard Depth — </w:t>
      </w:r>
      <w:r>
        <w:t xml:space="preserve">Native chains and every major token standard, matched to your specific ecosystem rather than a one-size-fits-all default we happen to be most familiar with.</w:t>
      </w:r>
    </w:p>
    <w:p>
      <w:pPr>
        <w:pStyle w:val="ListParagraph"/>
        <w:numPr>
          <w:ilvl w:val="0"/>
          <w:numId w:val="2"/>
        </w:numPr>
        <w:spacing w:after="80"/>
      </w:pPr>
      <w:r>
        <w:rPr>
          <w:b/>
          <w:bCs/>
        </w:rPr>
        <w:t xml:space="preserve">Full Lifecycle Ownership — </w:t>
      </w:r>
      <w:r>
        <w:t xml:space="preserve">From tokenomics design through audit, sale infrastructure, and exchange listing support — one accountable team across the entire lifecycle, not a handoff between disconnected vendors.</w:t>
      </w:r>
    </w:p>
    <w:p>
      <w:pPr>
        <w:pStyle w:val="ListParagraph"/>
        <w:numPr>
          <w:ilvl w:val="0"/>
          <w:numId w:val="2"/>
        </w:numPr>
        <w:spacing w:after="80"/>
      </w:pPr>
      <w:r>
        <w:rPr>
          <w:b/>
          <w:bCs/>
        </w:rPr>
        <w:t xml:space="preserve">Sale-Ready When Needed — </w:t>
      </w:r>
      <w:r>
        <w:t xml:space="preserve">ICO/token sale infrastructure is available as a direct, coordinated extension of the token build, not a separate engagement requiring a different vendor relationship.</w:t>
      </w:r>
    </w:p>
    <w:p>
      <w:pPr>
        <w:pStyle w:val="Heading2"/>
        <w:spacing w:after="130" w:before="320"/>
      </w:pPr>
      <w:r>
        <w:t xml:space="preserve">11. Engagement Models</w:t>
      </w:r>
    </w:p>
    <w:p>
      <w:pPr>
        <w:pStyle w:val="Heading3"/>
        <w:spacing w:after="80" w:before="200"/>
      </w:pPr>
      <w:r>
        <w:t xml:space="preserve">Tokenomics Design Only  (3–5 weeks)</w:t>
      </w:r>
    </w:p>
    <w:p>
      <w:pPr>
        <w:spacing w:after="140"/>
      </w:pPr>
      <w:r>
        <w:t xml:space="preserve">Economic modeling and full documentation for teams building the contract itself in-house or with another development partner.</w:t>
      </w:r>
    </w:p>
    <w:p>
      <w:pPr>
        <w:pStyle w:val="Heading3"/>
        <w:spacing w:after="80" w:before="200"/>
      </w:pPr>
      <w:r>
        <w:t xml:space="preserve">Full Token Build  (6–14 weeks typical)</w:t>
      </w:r>
    </w:p>
    <w:p>
      <w:pPr>
        <w:spacing w:after="140"/>
      </w:pPr>
      <w:r>
        <w:t xml:space="preserve">End-to-end development, audit, and launch support for the token contract and its surrounding infrastructure.</w:t>
      </w:r>
    </w:p>
    <w:p>
      <w:pPr>
        <w:pStyle w:val="Heading3"/>
        <w:spacing w:after="80" w:before="200"/>
      </w:pPr>
      <w:r>
        <w:t xml:space="preserve">Token + ICO Package  (10–18 weeks typical)</w:t>
      </w:r>
    </w:p>
    <w:p>
      <w:pPr>
        <w:spacing w:after="140"/>
      </w:pPr>
      <w:r>
        <w:t xml:space="preserve">Combined token development and full token sale infrastructure for a project raising capital through a public or private sale.</w:t>
      </w:r>
    </w:p>
    <w:p>
      <w:pPr>
        <w:pStyle w:val="Heading2"/>
        <w:spacing w:after="130" w:before="320"/>
      </w:pPr>
      <w:r>
        <w:t xml:space="preserve">12. Proof in Production</w:t>
      </w:r>
    </w:p>
    <w:p>
      <w:pPr>
        <w:spacing w:after="140"/>
      </w:pPr>
      <w:r>
        <w:t xml:space="preserve">Pull any token-launch-adjacent portfolio pieces, particularly the 'launchpad' portfolio item, since token development and launchpad infrastructure are frequently delivered as a coordinated engagement.</w:t>
      </w:r>
    </w:p>
    <w:p>
      <w:pPr>
        <w:pStyle w:val="Heading2"/>
        <w:spacing w:after="130" w:before="320"/>
      </w:pPr>
      <w:r>
        <w:t xml:space="preserve">13. Testimonial</w:t>
      </w:r>
    </w:p>
    <w:p>
      <w:pPr>
        <w:spacing w:after="140"/>
      </w:pPr>
      <w:r>
        <w:t xml:space="preserve">Reuse existing testimonial component (Tom Blears / Bitcast quote, or another matching testimonial from the library) — no new content needed.</w:t>
      </w:r>
    </w:p>
    <w:p>
      <w:pPr>
        <w:pStyle w:val="Heading2"/>
        <w:spacing w:after="130" w:before="320"/>
      </w:pPr>
      <w:r>
        <w:t xml:space="preserve">14. FAQ</w:t>
      </w:r>
    </w:p>
    <w:p>
      <w:pPr>
        <w:pStyle w:val="Heading3"/>
        <w:spacing w:after="80" w:before="200"/>
      </w:pPr>
      <w:r>
        <w:t xml:space="preserve">Which token standards do you support?</w:t>
      </w:r>
    </w:p>
    <w:p>
      <w:pPr>
        <w:spacing w:after="140"/>
      </w:pPr>
      <w:r>
        <w:t xml:space="preserve">ERC-20, BEP-20, SPL, TRC-20, ERC-1155, and native chain tokens — matched to your target ecosystem based on where your actual user and liquidity base is concentrated, rather than defaulting to whichever standard is most commonly requested.</w:t>
      </w:r>
    </w:p>
    <w:p>
      <w:pPr>
        <w:pStyle w:val="Heading3"/>
        <w:spacing w:after="80" w:before="200"/>
      </w:pPr>
      <w:r>
        <w:t xml:space="preserve">Do you help with tokenomics, not just the code?</w:t>
      </w:r>
    </w:p>
    <w:p>
      <w:pPr>
        <w:spacing w:after="140"/>
      </w:pPr>
      <w:r>
        <w:t xml:space="preserve">Yes — economic modeling and incentive design are a mandatory, non-optional part of every engagement, since a technically flawless token contract enforcing an unsustainable economic model still produces a token that fails, just on a longer timeline and less visibly than a code exploit would.</w:t>
      </w:r>
    </w:p>
    <w:p>
      <w:pPr>
        <w:pStyle w:val="Heading3"/>
        <w:spacing w:after="80" w:before="200"/>
      </w:pPr>
      <w:r>
        <w:t xml:space="preserve">Can this include a token sale/ICO?</w:t>
      </w:r>
    </w:p>
    <w:p>
      <w:pPr>
        <w:spacing w:after="140"/>
      </w:pPr>
      <w:r>
        <w:t xml:space="preserve">Yes, ICO infrastructure — sale contracts, KYC-gating, investor dashboards, automated vesting — is available as a direct, coordinated extension of the token development engagement, working alongside our Legal Structuring team so the technical build and the legal classification are handled together rather than as disconnected workstreams.</w:t>
      </w:r>
    </w:p>
    <w:p>
      <w:pPr>
        <w:pStyle w:val="Heading3"/>
        <w:spacing w:after="80" w:before="200"/>
      </w:pPr>
      <w:r>
        <w:t xml:space="preserve">Can you help fix a token that's already launched with poor tokenomics?</w:t>
      </w:r>
    </w:p>
    <w:p>
      <w:pPr>
        <w:spacing w:after="140"/>
      </w:pPr>
      <w:r>
        <w:t xml:space="preserve">Yes, we offer tokenomics redesign and migration planning for live projects facing sustainability issues, which typically involves modeling a path to a revised emission schedule or governance structure that can realistically be adopted by existing holders without triggering a damaging community backlash.</w:t>
      </w:r>
    </w:p>
    <w:p>
      <w:pPr>
        <w:pStyle w:val="Heading3"/>
        <w:spacing w:after="80" w:before="200"/>
      </w:pPr>
      <w:r>
        <w:t xml:space="preserve">How do you decide between a native coin/chain versus a standard token?</w:t>
      </w:r>
    </w:p>
    <w:p>
      <w:pPr>
        <w:spacing w:after="140"/>
      </w:pPr>
      <w:r>
        <w:t xml:space="preserve">This depends on whether your project genuinely needs its own consensus mechanism and validator set (warranting a native coin) versus simply needing a fungible asset within an existing ecosystem (where a standard token like ERC-20 is far faster and cheaper to launch and maintain) — we assess this explicitly during the standard selection phase rather than defaulting to the more complex option.</w:t>
      </w:r>
    </w:p>
    <w:p>
      <w:pPr>
        <w:pStyle w:val="Heading3"/>
        <w:spacing w:after="80" w:before="200"/>
      </w:pPr>
      <w:r>
        <w:t xml:space="preserve">What happens if our project's use case or roadmap changes after the token launches?</w:t>
      </w:r>
    </w:p>
    <w:p>
      <w:pPr>
        <w:spacing w:after="140"/>
      </w:pPr>
      <w:r>
        <w:t xml:space="preserve">This is exactly why governance mechanisms and, where appropriate, upgradeable contract components matter — we design tokens with reasonable flexibility for the protocol's utility to evolve through governed decisions, rather than hard-coding assumptions that only make sense for the exact roadmap in place at launch.</w:t>
      </w:r>
    </w:p>
    <w:p>
      <w:pPr>
        <w:pStyle w:val="Heading2"/>
        <w:spacing w:after="130" w:before="320"/>
      </w:pPr>
      <w:r>
        <w:t xml:space="preserve">15. Closing CTA</w:t>
      </w:r>
    </w:p>
    <w:p>
      <w:pPr>
        <w:spacing w:after="140"/>
      </w:pPr>
      <w:r>
        <w:t xml:space="preserve">Ready to launch a token engineered to survive its first bear market, not just its launch week?</w:t>
      </w:r>
    </w:p>
    <w:p>
      <w:pPr>
        <w:spacing w:after="160"/>
      </w:pPr>
      <w:r>
        <w:rPr>
          <w:i/>
          <w:iCs/>
        </w:rPr>
        <w:t xml:space="preserve">CTA Buttons: "Talk to a Token Engineer"  /  "View Our Portfolio"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2026-08-03T14:07:07.443Z</dcterms:created>
  <dcterms:modified xsi:type="dcterms:W3CDTF">2026-08-03T14:07:07.443Z</dcterms:modified>
</cp:coreProperties>
</file>

<file path=docProps/custom.xml><?xml version="1.0" encoding="utf-8"?>
<Properties xmlns="http://schemas.openxmlformats.org/officeDocument/2006/custom-properties" xmlns:vt="http://schemas.openxmlformats.org/officeDocument/2006/docPropsVTypes"/>
</file>