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Crypto Banking &amp; Financial Rails</w:t>
      </w:r>
    </w:p>
    <w:p>
      <w:pPr>
        <w:spacing w:after="160"/>
      </w:pPr>
      <w:r>
        <w:rPr>
          <w:i/>
          <w:iCs/>
        </w:rPr>
        <w:t xml:space="preserve">Suggested URL: quecko.com/services/web3/crypto-banking</w:t>
      </w:r>
    </w:p>
    <w:p>
      <w:pPr>
        <w:spacing w:after="100"/>
      </w:pPr>
      <w:r>
        <w:rPr>
          <w:b/>
          <w:bCs/>
        </w:rPr>
        <w:t xml:space="preserve">Meta Title: </w:t>
      </w:r>
      <w:r>
        <w:t xml:space="preserve">Crypto Banking &amp; Financial Rails Development | Quecko</w:t>
      </w:r>
    </w:p>
    <w:p>
      <w:pPr>
        <w:spacing w:after="100"/>
      </w:pPr>
      <w:r>
        <w:rPr>
          <w:b/>
          <w:bCs/>
        </w:rPr>
        <w:t xml:space="preserve">Meta Description: </w:t>
      </w:r>
      <w:r>
        <w:t xml:space="preserve">Quecko builds compliant crypto banking infrastructure — neobank platforms, payment gateways, stablecoin reserves, remittance systems, P2P lending, and CBDC networks.</w:t>
      </w:r>
    </w:p>
    <w:p>
      <w:pPr>
        <w:spacing w:after="100"/>
      </w:pPr>
      <w:r>
        <w:rPr>
          <w:b/>
          <w:bCs/>
        </w:rPr>
        <w:t xml:space="preserve">One-Line Positioning: </w:t>
      </w:r>
      <w:r>
        <w:t xml:space="preserve">Financial infrastructure engineered like a bank, not a weekend fintech MVP.</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flow-of-funds diagram — fiat entering a ledger, converting across a crypto rail, and arriving as a payout, rendered as a continuous glowing pipeline). Headline (2 rotating/A-B testable variants provided below), one-line subhead, dual CTA buttons, and the standard 4-stat ticker row underneath.</w:t>
      </w:r>
    </w:p>
    <w:p>
      <w:pPr>
        <w:pStyle w:val="Heading3"/>
        <w:spacing w:after="80" w:before="200"/>
      </w:pPr>
      <w:r>
        <w:t xml:space="preserve">2. Fiat and Crypto Rails Are Merging</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Banking Products Fail Where Apps Don't</w:t>
      </w:r>
    </w:p>
    <w:p>
      <w:pPr>
        <w:spacing w:after="140"/>
      </w:pPr>
      <w:r>
        <w:t xml:space="preserve">Centered narrative paragraph, followed by a two-column "Old Way vs. Quecko Way" comparison list — undefined</w:t>
      </w:r>
    </w:p>
    <w:p>
      <w:pPr>
        <w:pStyle w:val="Heading3"/>
        <w:spacing w:after="80" w:before="200"/>
      </w:pPr>
      <w:r>
        <w:t xml:space="preserve">4. From Compliance Mapping to Live Reserve Monitoring</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Financial Infrastructure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Where Crypto Banking Products Actually Break</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Fintechs &amp; Banks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Where Fiat Rails and Crypto Rails Actually Meet.</w:t>
      </w:r>
    </w:p>
    <w:p>
      <w:pPr>
        <w:pStyle w:val="Heading3"/>
        <w:spacing w:after="80" w:before="200"/>
      </w:pPr>
      <w:r>
        <w:t xml:space="preserve">Headline — Option B</w:t>
      </w:r>
    </w:p>
    <w:p>
      <w:pPr>
        <w:spacing w:after="140"/>
      </w:pPr>
      <w:r>
        <w:t xml:space="preserve">Six Financial Products. One Coordinated Engineering Team.</w:t>
      </w:r>
    </w:p>
    <w:p>
      <w:pPr>
        <w:pStyle w:val="Heading3"/>
        <w:spacing w:after="80" w:before="200"/>
      </w:pPr>
      <w:r>
        <w:t xml:space="preserve">Subheadline</w:t>
      </w:r>
    </w:p>
    <w:p>
      <w:pPr>
        <w:spacing w:after="140"/>
      </w:pPr>
      <w:r>
        <w:t xml:space="preserve">Quecko engineers secure, regulatory-compliant financial infrastructure connecting traditional fiat banking with decentralized crypto rails — neobank engines, payment gateways, stablecoin mint/redeem systems, remittance corridors, P2P lending markets, and CBDC networks.</w:t>
      </w:r>
    </w:p>
    <w:p>
      <w:pPr>
        <w:spacing w:after="160"/>
      </w:pPr>
      <w:r>
        <w:rPr>
          <w:i/>
          <w:iCs/>
        </w:rPr>
        <w:t xml:space="preserve">CTA Buttons: "Talk to a Banking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Fiat and Crypto Rails Are Merging</w:t>
      </w:r>
    </w:p>
    <w:p>
      <w:pPr>
        <w:spacing w:after="140"/>
      </w:pPr>
      <w:r>
        <w:t xml:space="preserve">Financial rails are converging in a way that would have seemed implausible just a few years ago — banks are increasingly positioning themselves as reserve custodians for stablecoin issuers, regulated neobanks are embedding native crypto conversion directly into everyday accounts, and cross-border CBDC pilots are explicitly targeting the same remittance corridors that stablecoin-powered products already serve. The institutions and fintechs winning in this space aren't choosing between fiat and crypto infrastructure — they're the ones who've figured out how to engineer both as a single coherent system rather than two systems awkwardly bolted together.</w:t>
      </w:r>
    </w:p>
    <w:p>
      <w:pPr>
        <w:pStyle w:val="Heading2"/>
        <w:spacing w:after="130" w:before="320"/>
      </w:pPr>
      <w:r>
        <w:t xml:space="preserve">3. Why Banking Products Fail Where Apps Don't</w:t>
      </w:r>
    </w:p>
    <w:p>
      <w:pPr>
        <w:spacing w:after="140"/>
      </w:pPr>
      <w:r>
        <w:t xml:space="preserve">Building modern crypto banking and financial rail products is a compliance, treasury, and engineering problem combined, in a way that most consumer app development simply isn't. Whether you're launching a cross-border remittance gateway, an institutional stablecoin reserve, a neobank card issuance service, or exploring central bank digital currency infrastructure, you need to solve ledger synchronization, banking-as-a-service integration, real-time liquidity management, and strict regulatory standards like the GENIUS Act, MiCA, and VASP licensing simultaneously — and get all of them right, since a financial product with a beautiful interface but an unreliable ledger or an unmanaged reserve isn't a product at all, it's a liability waiting to surface.</w:t>
      </w:r>
    </w:p>
    <w:p>
      <w:pPr>
        <w:pStyle w:val="Heading3"/>
        <w:spacing w:after="80" w:before="200"/>
      </w:pPr>
      <w:r>
        <w:t xml:space="preserve">The Old Way</w:t>
      </w:r>
    </w:p>
    <w:p>
      <w:pPr>
        <w:pStyle w:val="ListParagraph"/>
        <w:numPr>
          <w:ilvl w:val="0"/>
          <w:numId w:val="2"/>
        </w:numPr>
        <w:spacing w:after="70"/>
      </w:pPr>
      <w:r>
        <w:t xml:space="preserve">Treat crypto banking as a smart contract problem, bolt on compliance later</w:t>
      </w:r>
    </w:p>
    <w:p>
      <w:pPr>
        <w:pStyle w:val="ListParagraph"/>
        <w:numPr>
          <w:ilvl w:val="0"/>
          <w:numId w:val="2"/>
        </w:numPr>
        <w:spacing w:after="70"/>
      </w:pPr>
      <w:r>
        <w:t xml:space="preserve">Launch a payment gateway or neobank without a defined custody and reserve model</w:t>
      </w:r>
    </w:p>
    <w:p>
      <w:pPr>
        <w:pStyle w:val="ListParagraph"/>
        <w:numPr>
          <w:ilvl w:val="0"/>
          <w:numId w:val="2"/>
        </w:numPr>
        <w:spacing w:after="70"/>
      </w:pPr>
      <w:r>
        <w:t xml:space="preserve">Build remittance corridors without mapping local payout partner requirements upfront</w:t>
      </w:r>
    </w:p>
    <w:p>
      <w:pPr>
        <w:pStyle w:val="ListParagraph"/>
        <w:numPr>
          <w:ilvl w:val="0"/>
          <w:numId w:val="2"/>
        </w:numPr>
        <w:spacing w:after="70"/>
      </w:pPr>
      <w:r>
        <w:t xml:space="preserve">Handle six distinct financial products (banking, payments, stablecoins, remittance, lending, CBDC) as six disconnected vendor relationships</w:t>
      </w:r>
    </w:p>
    <w:p>
      <w:pPr>
        <w:pStyle w:val="Heading3"/>
        <w:spacing w:after="80" w:before="200"/>
      </w:pPr>
      <w:r>
        <w:t xml:space="preserve">The Quecko Way</w:t>
      </w:r>
    </w:p>
    <w:p>
      <w:pPr>
        <w:pStyle w:val="ListParagraph"/>
        <w:numPr>
          <w:ilvl w:val="0"/>
          <w:numId w:val="2"/>
        </w:numPr>
        <w:spacing w:after="70"/>
      </w:pPr>
      <w:r>
        <w:t xml:space="preserve">Map architecture, custody model, and compliance boundaries together before development begins</w:t>
      </w:r>
    </w:p>
    <w:p>
      <w:pPr>
        <w:pStyle w:val="ListParagraph"/>
        <w:numPr>
          <w:ilvl w:val="0"/>
          <w:numId w:val="2"/>
        </w:numPr>
        <w:spacing w:after="70"/>
      </w:pPr>
      <w:r>
        <w:t xml:space="preserve">Define reserve attestation and redemption infrastructure as a core requirement, not a later feature</w:t>
      </w:r>
    </w:p>
    <w:p>
      <w:pPr>
        <w:pStyle w:val="ListParagraph"/>
        <w:numPr>
          <w:ilvl w:val="0"/>
          <w:numId w:val="2"/>
        </w:numPr>
        <w:spacing w:after="70"/>
      </w:pPr>
      <w:r>
        <w:t xml:space="preserve">Design remittance corridors around real local payout partner and compliance requirements from day one</w:t>
      </w:r>
    </w:p>
    <w:p>
      <w:pPr>
        <w:pStyle w:val="ListParagraph"/>
        <w:numPr>
          <w:ilvl w:val="0"/>
          <w:numId w:val="2"/>
        </w:numPr>
        <w:spacing w:after="70"/>
      </w:pPr>
      <w:r>
        <w:t xml:space="preserve">Deliver all six financial rail products as one coordinated engineering practice with shared architecture standards</w:t>
      </w:r>
    </w:p>
    <w:p>
      <w:pPr>
        <w:pStyle w:val="Heading2"/>
        <w:spacing w:after="130" w:before="320"/>
      </w:pPr>
      <w:r>
        <w:t xml:space="preserve">4. From Compliance Mapping to Live Reserve Monitoring</w:t>
      </w:r>
    </w:p>
    <w:p>
      <w:pPr>
        <w:spacing w:after="60" w:before="160"/>
      </w:pPr>
      <w:r>
        <w:rPr>
          <w:b/>
          <w:bCs/>
          <w:sz w:val="24"/>
          <w:szCs w:val="24"/>
        </w:rPr>
        <w:t xml:space="preserve">1. Architecture &amp; Compliance Mapping</w:t>
      </w:r>
    </w:p>
    <w:p>
      <w:pPr>
        <w:spacing w:after="140"/>
      </w:pPr>
      <w:r>
        <w:t xml:space="preserve">Define banking cores, custody models, and compliance boundaries (MiCA, GENIUS Act, MSB/MTL licensing) directly with banking-as-a-service partners and relevant regulators before development begins.</w:t>
      </w:r>
    </w:p>
    <w:p>
      <w:pPr>
        <w:spacing w:after="60" w:before="160"/>
      </w:pPr>
      <w:r>
        <w:rPr>
          <w:b/>
          <w:bCs/>
          <w:sz w:val="24"/>
          <w:szCs w:val="24"/>
        </w:rPr>
        <w:t xml:space="preserve">2. Core System &amp; Web3 Build</w:t>
      </w:r>
    </w:p>
    <w:p>
      <w:pPr>
        <w:spacing w:after="140"/>
      </w:pPr>
      <w:r>
        <w:t xml:space="preserve">Develop ledger databases, smart contracts, conversion engines, and merchant/user app dashboards in parallel, ensuring the fiat and crypto sides of the system are designed as one coherent architecture.</w:t>
      </w:r>
    </w:p>
    <w:p>
      <w:pPr>
        <w:spacing w:after="60" w:before="160"/>
      </w:pPr>
      <w:r>
        <w:rPr>
          <w:b/>
          <w:bCs/>
          <w:sz w:val="24"/>
          <w:szCs w:val="24"/>
        </w:rPr>
        <w:t xml:space="preserve">3. Reserve &amp; Liquidity Infrastructure</w:t>
      </w:r>
    </w:p>
    <w:p>
      <w:pPr>
        <w:spacing w:after="140"/>
      </w:pPr>
      <w:r>
        <w:t xml:space="preserve">Build reserve attestation reporting, peg monitoring, and real-time liquidity management systems specifically for any product involving stablecoin issuance or cross-border settlement.</w:t>
      </w:r>
    </w:p>
    <w:p>
      <w:pPr>
        <w:spacing w:after="60" w:before="160"/>
      </w:pPr>
      <w:r>
        <w:rPr>
          <w:b/>
          <w:bCs/>
          <w:sz w:val="24"/>
          <w:szCs w:val="24"/>
        </w:rPr>
        <w:t xml:space="preserve">4. Audit &amp; Stress Testing</w:t>
      </w:r>
    </w:p>
    <w:p>
      <w:pPr>
        <w:spacing w:after="140"/>
      </w:pPr>
      <w:r>
        <w:t xml:space="preserve">Run security penetration testing, smart contract audits, liquidation scenario stress-testing, and partner bank validation before any product handles real user funds.</w:t>
      </w:r>
    </w:p>
    <w:p>
      <w:pPr>
        <w:spacing w:after="60" w:before="160"/>
      </w:pPr>
      <w:r>
        <w:rPr>
          <w:b/>
          <w:bCs/>
          <w:sz w:val="24"/>
          <w:szCs w:val="24"/>
        </w:rPr>
        <w:t xml:space="preserve">5. Launch &amp; Scale</w:t>
      </w:r>
    </w:p>
    <w:p>
      <w:pPr>
        <w:spacing w:after="140"/>
      </w:pPr>
      <w:r>
        <w:t xml:space="preserve">Mainnet deployment with real-time reserve, peg, and transaction monitoring, plus ongoing support as transaction volume and corridor/product count grow.</w:t>
      </w:r>
    </w:p>
    <w:p>
      <w:pPr>
        <w:pStyle w:val="Heading2"/>
        <w:spacing w:after="130" w:before="320"/>
      </w:pPr>
      <w:r>
        <w:t xml:space="preserve">5. Capabilities</w:t>
      </w:r>
    </w:p>
    <w:p>
      <w:pPr>
        <w:pStyle w:val="Heading3"/>
        <w:spacing w:after="80" w:before="200"/>
      </w:pPr>
      <w:r>
        <w:t xml:space="preserve">Neobank Engines &amp; Card Issuance</w:t>
      </w:r>
    </w:p>
    <w:p>
      <w:pPr>
        <w:spacing w:after="140"/>
      </w:pPr>
      <w:r>
        <w:t xml:space="preserve">White-label digital ledger engines, virtual and physical card issuance API integrations, multi-currency accounts, and Apple Pay/Google Pay provisioning built to fintech-grade reliability standards.</w:t>
      </w:r>
    </w:p>
    <w:p>
      <w:pPr>
        <w:pStyle w:val="Heading3"/>
        <w:spacing w:after="80" w:before="200"/>
      </w:pPr>
      <w:r>
        <w:t xml:space="preserve">Crypto Payment Gateways</w:t>
      </w:r>
    </w:p>
    <w:p>
      <w:pPr>
        <w:spacing w:after="140"/>
      </w:pPr>
      <w:r>
        <w:t xml:space="preserve">Multi-chain merchant checkout APIs, automatic fiat-to-crypto FX settlement, invoicing, subscription billing, and merchant dashboards designed for genuine transaction-volume scale, not a demo integration.</w:t>
      </w:r>
    </w:p>
    <w:p>
      <w:pPr>
        <w:pStyle w:val="Heading3"/>
        <w:spacing w:after="80" w:before="200"/>
      </w:pPr>
      <w:r>
        <w:t xml:space="preserve">Stablecoin Reserves &amp; Minting</w:t>
      </w:r>
    </w:p>
    <w:p>
      <w:pPr>
        <w:spacing w:after="140"/>
      </w:pPr>
      <w:r>
        <w:t xml:space="preserve">Asset-backed custody models, reserve attestation reporting, peg deviation alerts, and GENIUS Act/MiCA-compliant redemption infrastructure engineered to satisfy both users and regulators simultaneously.</w:t>
      </w:r>
    </w:p>
    <w:p>
      <w:pPr>
        <w:pStyle w:val="Heading3"/>
        <w:spacing w:after="80" w:before="200"/>
      </w:pPr>
      <w:r>
        <w:t xml:space="preserve">Cross-Border Remittance</w:t>
      </w:r>
    </w:p>
    <w:p>
      <w:pPr>
        <w:spacing w:after="140"/>
      </w:pPr>
      <w:r>
        <w:t xml:space="preserve">Stablecoin-powered corridors, bank deposit and mobile wallet payout integrations, and Travel Rule-compliant compliance routing designed around each corridor's specific local payout requirements.</w:t>
      </w:r>
    </w:p>
    <w:p>
      <w:pPr>
        <w:pStyle w:val="Heading3"/>
        <w:spacing w:after="80" w:before="200"/>
      </w:pPr>
      <w:r>
        <w:t xml:space="preserve">P2P Lending Engines</w:t>
      </w:r>
    </w:p>
    <w:p>
      <w:pPr>
        <w:spacing w:after="140"/>
      </w:pPr>
      <w:r>
        <w:t xml:space="preserve">On-chain collateral vaults, automated liquidation triggers, credit scoring, and interest rate models based on real-time borrower demand rather than static, unresponsive rate tables.</w:t>
      </w:r>
    </w:p>
    <w:p>
      <w:pPr>
        <w:pStyle w:val="Heading3"/>
        <w:spacing w:after="80" w:before="200"/>
      </w:pPr>
      <w:r>
        <w:t xml:space="preserve">CBDC National Infrastructure</w:t>
      </w:r>
    </w:p>
    <w:p>
      <w:pPr>
        <w:spacing w:after="140"/>
      </w:pPr>
      <w:r>
        <w:t xml:space="preserve">Permissioned wholesale and retail CBDC ledger designs, tiered transaction privacy, and cross-border settlement rails designed for interoperability with platforms like mBridge.</w:t>
      </w:r>
    </w:p>
    <w:p>
      <w:pPr>
        <w:pStyle w:val="Heading2"/>
        <w:spacing w:after="130" w:before="320"/>
      </w:pPr>
      <w:r>
        <w:t xml:space="preserve">6. Financial Infrastructure Benchmarks We Build To</w:t>
      </w:r>
    </w:p>
    <w:p>
      <w:pPr>
        <w:pStyle w:val="ListParagraph"/>
        <w:numPr>
          <w:ilvl w:val="0"/>
          <w:numId w:val="2"/>
        </w:numPr>
        <w:spacing w:after="80"/>
      </w:pPr>
      <w:r>
        <w:rPr>
          <w:b/>
          <w:bCs/>
        </w:rPr>
        <w:t xml:space="preserve">Compliance mapped before code — </w:t>
      </w:r>
      <w:r>
        <w:t xml:space="preserve">regulatory boundaries defined jointly with BaaS partners at the architecture stage</w:t>
      </w:r>
    </w:p>
    <w:p>
      <w:pPr>
        <w:pStyle w:val="ListParagraph"/>
        <w:numPr>
          <w:ilvl w:val="0"/>
          <w:numId w:val="2"/>
        </w:numPr>
        <w:spacing w:after="80"/>
      </w:pPr>
      <w:r>
        <w:rPr>
          <w:b/>
          <w:bCs/>
        </w:rPr>
        <w:t xml:space="preserve">Real-time reserve monitoring — </w:t>
      </w:r>
      <w:r>
        <w:t xml:space="preserve">peg deviation and reserve attestation tracked continuously, not just at audit time</w:t>
      </w:r>
    </w:p>
    <w:p>
      <w:pPr>
        <w:pStyle w:val="ListParagraph"/>
        <w:numPr>
          <w:ilvl w:val="0"/>
          <w:numId w:val="2"/>
        </w:numPr>
        <w:spacing w:after="80"/>
      </w:pPr>
      <w:r>
        <w:rPr>
          <w:b/>
          <w:bCs/>
        </w:rPr>
        <w:t xml:space="preserve">Corridor-specific remittance design — </w:t>
      </w:r>
      <w:r>
        <w:t xml:space="preserve">local payout and compliance requirements mapped per corridor, not assumed generic</w:t>
      </w:r>
    </w:p>
    <w:p>
      <w:pPr>
        <w:pStyle w:val="ListParagraph"/>
        <w:numPr>
          <w:ilvl w:val="0"/>
          <w:numId w:val="2"/>
        </w:numPr>
        <w:spacing w:after="80"/>
      </w:pPr>
      <w:r>
        <w:rPr>
          <w:b/>
          <w:bCs/>
        </w:rPr>
        <w:t xml:space="preserve">Six products, one architecture team — </w:t>
      </w:r>
      <w:r>
        <w:t xml:space="preserve">banking, payments, stablecoin, remittance, lending, and CBDC delivered coherently</w:t>
      </w:r>
    </w:p>
    <w:p>
      <w:pPr>
        <w:pStyle w:val="Heading2"/>
        <w:spacing w:after="130" w:before="320"/>
      </w:pPr>
      <w:r>
        <w:t xml:space="preserve">7. Ecosystem / Chain Coverage</w:t>
      </w:r>
    </w:p>
    <w:p>
      <w:pPr>
        <w:pStyle w:val="ListParagraph"/>
        <w:numPr>
          <w:ilvl w:val="0"/>
          <w:numId w:val="2"/>
        </w:numPr>
        <w:spacing w:after="80"/>
      </w:pPr>
      <w:r>
        <w:rPr>
          <w:b/>
          <w:bCs/>
        </w:rPr>
        <w:t xml:space="preserve">Banking-as-a-Service Partners — </w:t>
      </w:r>
      <w:r>
        <w:t xml:space="preserve">Integration with licensed BaaS providers for regulated account and card issuance rails.</w:t>
      </w:r>
    </w:p>
    <w:p>
      <w:pPr>
        <w:pStyle w:val="ListParagraph"/>
        <w:numPr>
          <w:ilvl w:val="0"/>
          <w:numId w:val="2"/>
        </w:numPr>
        <w:spacing w:after="80"/>
      </w:pPr>
      <w:r>
        <w:rPr>
          <w:b/>
          <w:bCs/>
        </w:rPr>
        <w:t xml:space="preserve">Stablecoin Networks — </w:t>
      </w:r>
      <w:r>
        <w:t xml:space="preserve">Multi-chain stablecoin deployment across Ethereum, major L2s, and Tron for payment use cases.</w:t>
      </w:r>
    </w:p>
    <w:p>
      <w:pPr>
        <w:pStyle w:val="ListParagraph"/>
        <w:numPr>
          <w:ilvl w:val="0"/>
          <w:numId w:val="2"/>
        </w:numPr>
        <w:spacing w:after="80"/>
      </w:pPr>
      <w:r>
        <w:rPr>
          <w:b/>
          <w:bCs/>
        </w:rPr>
        <w:t xml:space="preserve">CBDC Interoperability — </w:t>
      </w:r>
      <w:r>
        <w:t xml:space="preserve">Design compatibility with cross-border CBDC settlement platforms such as mBridge.</w:t>
      </w:r>
    </w:p>
    <w:p>
      <w:pPr>
        <w:pStyle w:val="Heading2"/>
        <w:spacing w:after="130" w:before="320"/>
      </w:pPr>
      <w:r>
        <w:t xml:space="preserve">8. Technology Stack</w:t>
      </w:r>
    </w:p>
    <w:p>
      <w:pPr>
        <w:pStyle w:val="Heading3"/>
        <w:spacing w:after="80" w:before="200"/>
      </w:pPr>
      <w:r>
        <w:t xml:space="preserve">Regulatory Frameworks</w:t>
      </w:r>
    </w:p>
    <w:p>
      <w:pPr>
        <w:spacing w:after="140"/>
      </w:pPr>
      <w:r>
        <w:t xml:space="preserve">US GENIUS Act, EU MiCA (EMT/ART), FATF Travel Rule, Regional VASP/MSB regimes</w:t>
      </w:r>
    </w:p>
    <w:p>
      <w:pPr>
        <w:pStyle w:val="Heading3"/>
        <w:spacing w:after="80" w:before="200"/>
      </w:pPr>
      <w:r>
        <w:t xml:space="preserve">Core Banking</w:t>
      </w:r>
    </w:p>
    <w:p>
      <w:pPr>
        <w:spacing w:after="140"/>
      </w:pPr>
      <w:r>
        <w:t xml:space="preserve">Ledger/accounting engines, Card issuance APIs, BaaS integrations</w:t>
      </w:r>
    </w:p>
    <w:p>
      <w:pPr>
        <w:pStyle w:val="Heading3"/>
        <w:spacing w:after="80" w:before="200"/>
      </w:pPr>
      <w:r>
        <w:t xml:space="preserve">Blockchain</w:t>
      </w:r>
    </w:p>
    <w:p>
      <w:pPr>
        <w:spacing w:after="140"/>
      </w:pPr>
      <w:r>
        <w:t xml:space="preserve">Solidity, Multi-chain stablecoin standards</w:t>
      </w:r>
    </w:p>
    <w:p>
      <w:pPr>
        <w:pStyle w:val="Heading3"/>
        <w:spacing w:after="80" w:before="200"/>
      </w:pPr>
      <w:r>
        <w:t xml:space="preserve">Infrastructure</w:t>
      </w:r>
    </w:p>
    <w:p>
      <w:pPr>
        <w:spacing w:after="140"/>
      </w:pPr>
      <w:r>
        <w:t xml:space="preserve">Kubernetes, PostgreSQL, Real-time monitoring/alerting stacks</w:t>
      </w:r>
    </w:p>
    <w:p>
      <w:pPr>
        <w:pStyle w:val="Heading2"/>
        <w:spacing w:after="130" w:before="320"/>
      </w:pPr>
      <w:r>
        <w:t xml:space="preserve">9. Where Crypto Banking Products Actually Break</w:t>
      </w:r>
    </w:p>
    <w:p>
      <w:pPr>
        <w:pStyle w:val="Heading3"/>
        <w:spacing w:after="80" w:before="200"/>
      </w:pPr>
      <w:r>
        <w:t xml:space="preserve">Reserve Attestation Treated as an Afterthought</w:t>
      </w:r>
    </w:p>
    <w:p>
      <w:pPr>
        <w:spacing w:after="140"/>
      </w:pPr>
      <w:r>
        <w:t xml:space="preserve">Stablecoin products launched without automated, continuous reserve monitoring often discover reporting gaps only when a regulator or auditor asks a pointed question. We build attestation infrastructure as a core requirement from the architecture phase, not a reporting task assembled under deadline pressure.</w:t>
      </w:r>
    </w:p>
    <w:p>
      <w:pPr>
        <w:pStyle w:val="Heading3"/>
        <w:spacing w:after="80" w:before="200"/>
      </w:pPr>
      <w:r>
        <w:t xml:space="preserve">Remittance Corridors With No Local Payout Plan</w:t>
      </w:r>
    </w:p>
    <w:p>
      <w:pPr>
        <w:spacing w:after="140"/>
      </w:pPr>
      <w:r>
        <w:t xml:space="preserve">A remittance product with no mapped local payout partner in the destination market simply can't deliver funds, regardless of how well the sending side works. We map payout partners and compliance requirements per corridor before development begins.</w:t>
      </w:r>
    </w:p>
    <w:p>
      <w:pPr>
        <w:pStyle w:val="Heading3"/>
        <w:spacing w:after="80" w:before="200"/>
      </w:pPr>
      <w:r>
        <w:t xml:space="preserve">Ledger and Crypto Rail Desynchronization</w:t>
      </w:r>
    </w:p>
    <w:p>
      <w:pPr>
        <w:spacing w:after="140"/>
      </w:pPr>
      <w:r>
        <w:t xml:space="preserve">Treating the fiat ledger and the crypto settlement layer as separate systems that reconcile periodically, rather than one coherent architecture, creates windows where balances can drift out of sync. We design these as one integrated system from day one.</w:t>
      </w:r>
    </w:p>
    <w:p>
      <w:pPr>
        <w:pStyle w:val="Heading3"/>
        <w:spacing w:after="80" w:before="200"/>
      </w:pPr>
      <w:r>
        <w:t xml:space="preserve">Liquidation Logic That Breaks Under Real Volatility</w:t>
      </w:r>
    </w:p>
    <w:p>
      <w:pPr>
        <w:spacing w:after="140"/>
      </w:pPr>
      <w:r>
        <w:t xml:space="preserve">P2P lending and collateral systems tested only under calm market conditions routinely fail during genuine volatility spikes when they're needed most. We stress-test liquidation logic against historical crisis-level volatility before launch.</w:t>
      </w:r>
    </w:p>
    <w:p>
      <w:pPr>
        <w:pStyle w:val="Heading2"/>
        <w:spacing w:after="130" w:before="320"/>
      </w:pPr>
      <w:r>
        <w:t xml:space="preserve">10. Why Fintechs &amp; Banks Choose Quecko</w:t>
      </w:r>
    </w:p>
    <w:p>
      <w:pPr>
        <w:pStyle w:val="ListParagraph"/>
        <w:numPr>
          <w:ilvl w:val="0"/>
          <w:numId w:val="2"/>
        </w:numPr>
        <w:spacing w:after="80"/>
      </w:pPr>
      <w:r>
        <w:rPr>
          <w:b/>
          <w:bCs/>
        </w:rPr>
        <w:t xml:space="preserve">Fintech-Grade Engineering — </w:t>
      </w:r>
      <w:r>
        <w:t xml:space="preserve">We build to the reliability standards expected by commercial partner banks and regulators, not MVP-grade code shipped to hit an arbitrary launch date.</w:t>
      </w:r>
    </w:p>
    <w:p>
      <w:pPr>
        <w:pStyle w:val="ListParagraph"/>
        <w:numPr>
          <w:ilvl w:val="0"/>
          <w:numId w:val="2"/>
        </w:numPr>
        <w:spacing w:after="80"/>
      </w:pPr>
      <w:r>
        <w:rPr>
          <w:b/>
          <w:bCs/>
        </w:rPr>
        <w:t xml:space="preserve">Compliance-Native Design — </w:t>
      </w:r>
      <w:r>
        <w:t xml:space="preserve">Reserve attestation, KYC routing, and Travel Rule checks are designed directly into the system logic from day one, not retrofitted after a compliance gap is discovered.</w:t>
      </w:r>
    </w:p>
    <w:p>
      <w:pPr>
        <w:pStyle w:val="ListParagraph"/>
        <w:numPr>
          <w:ilvl w:val="0"/>
          <w:numId w:val="2"/>
        </w:numPr>
        <w:spacing w:after="80"/>
      </w:pPr>
      <w:r>
        <w:rPr>
          <w:b/>
          <w:bCs/>
        </w:rPr>
        <w:t xml:space="preserve">Cross-Corridor Compatibility — </w:t>
      </w:r>
      <w:r>
        <w:t xml:space="preserve">Architecture built for multi-currency cross-border settlement, spanning everything from retail mobile apps to wholesale central bank settlement networks.</w:t>
      </w:r>
    </w:p>
    <w:p>
      <w:pPr>
        <w:pStyle w:val="ListParagraph"/>
        <w:numPr>
          <w:ilvl w:val="0"/>
          <w:numId w:val="2"/>
        </w:numPr>
        <w:spacing w:after="80"/>
      </w:pPr>
      <w:r>
        <w:rPr>
          <w:b/>
          <w:bCs/>
        </w:rPr>
        <w:t xml:space="preserve">Six Products, One Coordinated Practice — </w:t>
      </w:r>
      <w:r>
        <w:t xml:space="preserve">Neobank, payments, stablecoin, remittance, lending, and CBDC engineering handled as one integrated financial-rails practice with shared architecture standards, not six disconnected vendor relationships that don't talk to each other.</w:t>
      </w:r>
    </w:p>
    <w:p>
      <w:pPr>
        <w:pStyle w:val="Heading2"/>
        <w:spacing w:after="130" w:before="320"/>
      </w:pPr>
      <w:r>
        <w:t xml:space="preserve">11. Engagement Models</w:t>
      </w:r>
    </w:p>
    <w:p>
      <w:pPr>
        <w:pStyle w:val="Heading3"/>
        <w:spacing w:after="80" w:before="200"/>
      </w:pPr>
      <w:r>
        <w:t xml:space="preserve">Custom Platform Build  (4–9 months typical)</w:t>
      </w:r>
    </w:p>
    <w:p>
      <w:pPr>
        <w:spacing w:after="140"/>
      </w:pPr>
      <w:r>
        <w:t xml:space="preserve">A bespoke financial core engine designed and built specifically for your business model and target markets.</w:t>
      </w:r>
    </w:p>
    <w:p>
      <w:pPr>
        <w:pStyle w:val="Heading3"/>
        <w:spacing w:after="80" w:before="200"/>
      </w:pPr>
      <w:r>
        <w:t xml:space="preserve">White-Label Frameworks  (6–12 weeks)</w:t>
      </w:r>
    </w:p>
    <w:p>
      <w:pPr>
        <w:spacing w:after="140"/>
      </w:pPr>
      <w:r>
        <w:t xml:space="preserve">Launch fast using custom-branded remittance, payment checkout, or card-issuance templates built on Quecko's existing framework.</w:t>
      </w:r>
    </w:p>
    <w:p>
      <w:pPr>
        <w:pStyle w:val="Heading3"/>
        <w:spacing w:after="80" w:before="200"/>
      </w:pPr>
      <w:r>
        <w:t xml:space="preserve">Dedicated Financial Engineering Squad  (Ongoing)</w:t>
      </w:r>
    </w:p>
    <w:p>
      <w:pPr>
        <w:spacing w:after="140"/>
      </w:pPr>
      <w:r>
        <w:t xml:space="preserve">Embed senior Web3 fintech engineers directly into your engineering team for continuous development across your financial product suite.</w:t>
      </w:r>
    </w:p>
    <w:p>
      <w:pPr>
        <w:pStyle w:val="Heading2"/>
        <w:spacing w:after="130" w:before="320"/>
      </w:pPr>
      <w:r>
        <w:t xml:space="preserve">12. Proof in Production</w:t>
      </w:r>
    </w:p>
    <w:p>
      <w:pPr>
        <w:spacing w:after="140"/>
      </w:pPr>
      <w:r>
        <w:t xml:space="preserve">Pull any fintech or payment-adjacent portfolio pieces available; the 'multi-chain' portfolio item is the closest existing proxy for cross-chain financial infrastructure work — flag to the dev team that a dedicated neobank or payment gateway case study would meaningfully strengthen this specific page.</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Do you support white-label neobank and payment gateway templates?</w:t>
      </w:r>
    </w:p>
    <w:p>
      <w:pPr>
        <w:spacing w:after="140"/>
      </w:pPr>
      <w:r>
        <w:t xml:space="preserve">Yes — we provide full custom branding and integration layers for fast rollouts on our pre-built neobanking and payment frameworks, which can meaningfully compress time-to-market compared to a fully bespoke build while still allowing substantial customization of features and user experience.</w:t>
      </w:r>
    </w:p>
    <w:p>
      <w:pPr>
        <w:pStyle w:val="Heading3"/>
        <w:spacing w:after="80" w:before="200"/>
      </w:pPr>
      <w:r>
        <w:t xml:space="preserve">How is reserve auditing handled for stablecoins?</w:t>
      </w:r>
    </w:p>
    <w:p>
      <w:pPr>
        <w:spacing w:after="140"/>
      </w:pPr>
      <w:r>
        <w:t xml:space="preserve">We build automated attestation reporting dashboards that continuously track reserve composition and redemption capacity; our Compliance team supports audit-readiness and coordinates directly with licensed public auditors to produce the periodic attestation reports regulators and users expect.</w:t>
      </w:r>
    </w:p>
    <w:p>
      <w:pPr>
        <w:pStyle w:val="Heading3"/>
        <w:spacing w:after="80" w:before="200"/>
      </w:pPr>
      <w:r>
        <w:t xml:space="preserve">Can remittance recipients receive funds without a crypto wallet?</w:t>
      </w:r>
    </w:p>
    <w:p>
      <w:pPr>
        <w:spacing w:after="140"/>
      </w:pPr>
      <w:r>
        <w:t xml:space="preserve">Yes — the platform handles conversion automatically behind the scenes, allowing payouts in local fiat currency via bank deposit, mobile wallet, or cash pickup, so recipients never need to understand or interact with the underlying stablecoin settlement layer at all.</w:t>
      </w:r>
    </w:p>
    <w:p>
      <w:pPr>
        <w:pStyle w:val="Heading3"/>
        <w:spacing w:after="80" w:before="200"/>
      </w:pPr>
      <w:r>
        <w:t xml:space="preserve">How do you manage liquidation risk in lending products?</w:t>
      </w:r>
    </w:p>
    <w:p>
      <w:pPr>
        <w:spacing w:after="140"/>
      </w:pPr>
      <w:r>
        <w:t xml:space="preserve">Through automated margin call thresholds, collateral vaults, and liquidator engines that are explicitly stress-tested against historical market shocks and simulated volatility spikes before any mainnet rollout, rather than being validated only under calm, average market conditions.</w:t>
      </w:r>
    </w:p>
    <w:p>
      <w:pPr>
        <w:pStyle w:val="Heading3"/>
        <w:spacing w:after="80" w:before="200"/>
      </w:pPr>
      <w:r>
        <w:t xml:space="preserve">Which CBDC models do you support?</w:t>
      </w:r>
    </w:p>
    <w:p>
      <w:pPr>
        <w:spacing w:after="140"/>
      </w:pPr>
      <w:r>
        <w:t xml:space="preserve">Both retail and wholesale CBDC platform architectures, incorporating tiered privacy models appropriate to each use case and interoperability design with international settlement networks such as mBridge, since cross-border compatibility is increasingly a core requirement rather than an optional feature for new CBDC pilots.</w:t>
      </w:r>
    </w:p>
    <w:p>
      <w:pPr>
        <w:pStyle w:val="Heading3"/>
        <w:spacing w:after="80" w:before="200"/>
      </w:pPr>
      <w:r>
        <w:t xml:space="preserve">Do you handle banking licenses?</w:t>
      </w:r>
    </w:p>
    <w:p>
      <w:pPr>
        <w:spacing w:after="140"/>
      </w:pPr>
      <w:r>
        <w:t xml:space="preserve">We partner with licensed Banking-as-a-Service (BaaS) providers for the regulated account infrastructure itself, and support VASP registrations and MSB/MTL license applications through our Compliance &amp; Legal Advisory team, coordinating the technical architecture and the licensing process as one connected workstream.</w:t>
      </w:r>
    </w:p>
    <w:p>
      <w:pPr>
        <w:pStyle w:val="Heading2"/>
        <w:spacing w:after="130" w:before="320"/>
      </w:pPr>
      <w:r>
        <w:t xml:space="preserve">15. Closing CTA</w:t>
      </w:r>
    </w:p>
    <w:p>
      <w:pPr>
        <w:spacing w:after="140"/>
      </w:pPr>
      <w:r>
        <w:t xml:space="preserve">Ready to build financial rails engineered to bank-grade reliability standards, not startup-MVP ones?</w:t>
      </w:r>
    </w:p>
    <w:p>
      <w:pPr>
        <w:spacing w:after="160"/>
      </w:pPr>
      <w:r>
        <w:rPr>
          <w:i/>
          <w:iCs/>
        </w:rPr>
        <w:t xml:space="preserve">CTA Buttons: "Talk to a Banking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2026-08-03T14:07:07.528Z</dcterms:created>
  <dcterms:modified xsi:type="dcterms:W3CDTF">2026-08-03T14:07:07.528Z</dcterms:modified>
</cp:coreProperties>
</file>

<file path=docProps/custom.xml><?xml version="1.0" encoding="utf-8"?>
<Properties xmlns="http://schemas.openxmlformats.org/officeDocument/2006/custom-properties" xmlns:vt="http://schemas.openxmlformats.org/officeDocument/2006/docPropsVTypes"/>
</file>