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Crypto Exchange Development (CEX &amp; DEX)</w:t>
      </w:r>
    </w:p>
    <w:p>
      <w:pPr>
        <w:spacing w:after="160"/>
      </w:pPr>
      <w:r>
        <w:rPr>
          <w:i/>
          <w:iCs/>
        </w:rPr>
        <w:t xml:space="preserve">Suggested URL: quecko.com/services/web3/crypto-exchanges-cex-dex</w:t>
      </w:r>
    </w:p>
    <w:p>
      <w:pPr>
        <w:spacing w:after="100"/>
      </w:pPr>
      <w:r>
        <w:rPr>
          <w:b/>
          <w:bCs/>
        </w:rPr>
        <w:t xml:space="preserve">Meta Title: </w:t>
      </w:r>
      <w:r>
        <w:t xml:space="preserve">Crypto Exchange Development — CEX &amp; DEX Engineering | Quecko</w:t>
      </w:r>
    </w:p>
    <w:p>
      <w:pPr>
        <w:spacing w:after="100"/>
      </w:pPr>
      <w:r>
        <w:rPr>
          <w:b/>
          <w:bCs/>
        </w:rPr>
        <w:t xml:space="preserve">Meta Description: </w:t>
      </w:r>
      <w:r>
        <w:t xml:space="preserve">Quecko builds centralized and decentralized crypto exchanges — high-performance matching engines, liquidity aggregation, and secure custody infrastructure.</w:t>
      </w:r>
    </w:p>
    <w:p>
      <w:pPr>
        <w:spacing w:after="100"/>
      </w:pPr>
      <w:r>
        <w:rPr>
          <w:b/>
          <w:bCs/>
        </w:rPr>
        <w:t xml:space="preserve">One-Line Positioning: </w:t>
      </w:r>
      <w:r>
        <w:t xml:space="preserve">Exchanges engineered for order flow that never sleeps and never forgives downtime.</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order book — bid and ask rows populating and matching in real time with a visible price-time-priority fill animation). Headline (2 rotating/A-B testable variants provided below), one-line subhead, dual CTA buttons, and the standard 4-stat ticker row underneath.</w:t>
      </w:r>
    </w:p>
    <w:p>
      <w:pPr>
        <w:pStyle w:val="Heading3"/>
        <w:spacing w:after="80" w:before="200"/>
      </w:pPr>
      <w:r>
        <w:t xml:space="preserve">2. The Order Book Never Sleeps</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Why Most Exchange Launches Crumble Under Real Volume</w:t>
      </w:r>
    </w:p>
    <w:p>
      <w:pPr>
        <w:spacing w:after="140"/>
      </w:pPr>
      <w:r>
        <w:t xml:space="preserve">Centered narrative paragraph, followed by a two-column "Old Way vs. Quecko Way" comparison list — undefined</w:t>
      </w:r>
    </w:p>
    <w:p>
      <w:pPr>
        <w:pStyle w:val="Heading3"/>
        <w:spacing w:after="80" w:before="200"/>
      </w:pPr>
      <w:r>
        <w:t xml:space="preserve">4. From Matching Engine to Market-Ready</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Performance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Failure Modes We Engineer Against</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Exchange Operators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Built to Match Orders. Engineered to Never Go Down.</w:t>
      </w:r>
    </w:p>
    <w:p>
      <w:pPr>
        <w:pStyle w:val="Heading3"/>
        <w:spacing w:after="80" w:before="200"/>
      </w:pPr>
      <w:r>
        <w:t xml:space="preserve">Headline — Option B</w:t>
      </w:r>
    </w:p>
    <w:p>
      <w:pPr>
        <w:spacing w:after="140"/>
      </w:pPr>
      <w:r>
        <w:t xml:space="preserve">From Order Book to Live Trading Floor.</w:t>
      </w:r>
    </w:p>
    <w:p>
      <w:pPr>
        <w:pStyle w:val="Heading3"/>
        <w:spacing w:after="80" w:before="200"/>
      </w:pPr>
      <w:r>
        <w:t xml:space="preserve">Subheadline</w:t>
      </w:r>
    </w:p>
    <w:p>
      <w:pPr>
        <w:spacing w:after="140"/>
      </w:pPr>
      <w:r>
        <w:t xml:space="preserve">Quecko engineers both centralized and decentralized crypto exchanges — from high-throughput matching engines and institutional-grade custody infrastructure to on-chain AMM and order-book DEXs — built to handle real trading volume, not staged demo traffic.</w:t>
      </w:r>
    </w:p>
    <w:p>
      <w:pPr>
        <w:spacing w:after="160"/>
      </w:pPr>
      <w:r>
        <w:rPr>
          <w:i/>
          <w:iCs/>
        </w:rPr>
        <w:t xml:space="preserve">CTA Buttons: "Talk to an Exchange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The Order Book Never Sleeps</w:t>
      </w:r>
    </w:p>
    <w:p>
      <w:pPr>
        <w:spacing w:after="140"/>
      </w:pPr>
      <w:r>
        <w:t xml:space="preserve">Crypto markets trade continuously across every timezone with no closing bell, which means an exchange's uptime requirements and volatility exposure look nothing like traditional equity market infrastructure that gets to close overnight and over weekends. A matching engine that goes down during a volatile move doesn't just lose trading fee revenue for a few hours — it strands user positions at exactly the moment they most need to exit or adjust, which is precisely when reputational damage to an exchange is most severe and permanent.</w:t>
      </w:r>
    </w:p>
    <w:p>
      <w:pPr>
        <w:pStyle w:val="Heading2"/>
        <w:spacing w:after="130" w:before="320"/>
      </w:pPr>
      <w:r>
        <w:t xml:space="preserve">3. Why Most Exchange Launches Crumble Under Real Volume</w:t>
      </w:r>
    </w:p>
    <w:p>
      <w:pPr>
        <w:spacing w:after="140"/>
      </w:pPr>
      <w:r>
        <w:t xml:space="preserve">An exchange is one of the hardest financial products to build correctly: it has to match orders with microsecond-level reliability, secure user funds against both external attackers and internal bad actors, and stay solvent and compliant under regulatory scrutiny — all simultaneously, under real trading load rather than the clean, low-volume conditions most teams actually test against. Exchanges that pass every functional test in staging routinely buckle within their first genuinely volatile trading day, when order volume spikes far beyond anything the team modeled during development.</w:t>
      </w:r>
    </w:p>
    <w:p>
      <w:pPr>
        <w:pStyle w:val="Heading3"/>
        <w:spacing w:after="80" w:before="200"/>
      </w:pPr>
      <w:r>
        <w:t xml:space="preserve">The Old Way</w:t>
      </w:r>
    </w:p>
    <w:p>
      <w:pPr>
        <w:pStyle w:val="ListParagraph"/>
        <w:numPr>
          <w:ilvl w:val="0"/>
          <w:numId w:val="2"/>
        </w:numPr>
        <w:spacing w:after="70"/>
      </w:pPr>
      <w:r>
        <w:t xml:space="preserve">Load test against average daily volume, not volatility-spike scenarios</w:t>
      </w:r>
    </w:p>
    <w:p>
      <w:pPr>
        <w:pStyle w:val="ListParagraph"/>
        <w:numPr>
          <w:ilvl w:val="0"/>
          <w:numId w:val="2"/>
        </w:numPr>
        <w:spacing w:after="70"/>
      </w:pPr>
      <w:r>
        <w:t xml:space="preserve">Treat custody as a wallet integration task rather than a dedicated security discipline</w:t>
      </w:r>
    </w:p>
    <w:p>
      <w:pPr>
        <w:pStyle w:val="ListParagraph"/>
        <w:numPr>
          <w:ilvl w:val="0"/>
          <w:numId w:val="2"/>
        </w:numPr>
        <w:spacing w:after="70"/>
      </w:pPr>
      <w:r>
        <w:t xml:space="preserve">Bolt on compliance after the exchange is already processing live trades</w:t>
      </w:r>
    </w:p>
    <w:p>
      <w:pPr>
        <w:pStyle w:val="ListParagraph"/>
        <w:numPr>
          <w:ilvl w:val="0"/>
          <w:numId w:val="2"/>
        </w:numPr>
        <w:spacing w:after="70"/>
      </w:pPr>
      <w:r>
        <w:t xml:space="preserve">Discover liquidity fragmentation problems only after users complain about slippage</w:t>
      </w:r>
    </w:p>
    <w:p>
      <w:pPr>
        <w:pStyle w:val="Heading3"/>
        <w:spacing w:after="80" w:before="200"/>
      </w:pPr>
      <w:r>
        <w:t xml:space="preserve">The Quecko Way</w:t>
      </w:r>
    </w:p>
    <w:p>
      <w:pPr>
        <w:pStyle w:val="ListParagraph"/>
        <w:numPr>
          <w:ilvl w:val="0"/>
          <w:numId w:val="2"/>
        </w:numPr>
        <w:spacing w:after="70"/>
      </w:pPr>
      <w:r>
        <w:t xml:space="preserve">Load-test the matching engine against simulated peak volatility events, not just average conditions</w:t>
      </w:r>
    </w:p>
    <w:p>
      <w:pPr>
        <w:pStyle w:val="ListParagraph"/>
        <w:numPr>
          <w:ilvl w:val="0"/>
          <w:numId w:val="2"/>
        </w:numPr>
        <w:spacing w:after="70"/>
      </w:pPr>
      <w:r>
        <w:t xml:space="preserve">Design custody architecture with the same rigor as an institutional custodian, from day one</w:t>
      </w:r>
    </w:p>
    <w:p>
      <w:pPr>
        <w:pStyle w:val="ListParagraph"/>
        <w:numPr>
          <w:ilvl w:val="0"/>
          <w:numId w:val="2"/>
        </w:numPr>
        <w:spacing w:after="70"/>
      </w:pPr>
      <w:r>
        <w:t xml:space="preserve">Build KYC/AML and monitoring infrastructure directly into the exchange core before launch</w:t>
      </w:r>
    </w:p>
    <w:p>
      <w:pPr>
        <w:pStyle w:val="ListParagraph"/>
        <w:numPr>
          <w:ilvl w:val="0"/>
          <w:numId w:val="2"/>
        </w:numPr>
        <w:spacing w:after="70"/>
      </w:pPr>
      <w:r>
        <w:t xml:space="preserve">Architect liquidity aggregation and smart order routing as a core feature, not a later add-on</w:t>
      </w:r>
    </w:p>
    <w:p>
      <w:pPr>
        <w:pStyle w:val="Heading2"/>
        <w:spacing w:after="130" w:before="320"/>
      </w:pPr>
      <w:r>
        <w:t xml:space="preserve">4. From Matching Engine to Market-Ready</w:t>
      </w:r>
    </w:p>
    <w:p>
      <w:pPr>
        <w:spacing w:after="60" w:before="160"/>
      </w:pPr>
      <w:r>
        <w:rPr>
          <w:b/>
          <w:bCs/>
          <w:sz w:val="24"/>
          <w:szCs w:val="24"/>
        </w:rPr>
        <w:t xml:space="preserve">1. Architecture &amp; Compliance Scoping</w:t>
      </w:r>
    </w:p>
    <w:p>
      <w:pPr>
        <w:spacing w:after="140"/>
      </w:pPr>
      <w:r>
        <w:t xml:space="preserve">Define CEX vs. DEX vs. hybrid architecture, custody model, and applicable licensing requirements for your specific target markets before any engineering begins.</w:t>
      </w:r>
    </w:p>
    <w:p>
      <w:pPr>
        <w:spacing w:after="60" w:before="160"/>
      </w:pPr>
      <w:r>
        <w:rPr>
          <w:b/>
          <w:bCs/>
          <w:sz w:val="24"/>
          <w:szCs w:val="24"/>
        </w:rPr>
        <w:t xml:space="preserve">2. Core Engine Development</w:t>
      </w:r>
    </w:p>
    <w:p>
      <w:pPr>
        <w:spacing w:after="140"/>
      </w:pPr>
      <w:r>
        <w:t xml:space="preserve">Build the matching engine (for a CEX) or AMM/order-book smart contracts (for a DEX), alongside wallet/custody infrastructure and the trading interface.</w:t>
      </w:r>
    </w:p>
    <w:p>
      <w:pPr>
        <w:spacing w:after="60" w:before="160"/>
      </w:pPr>
      <w:r>
        <w:rPr>
          <w:b/>
          <w:bCs/>
          <w:sz w:val="24"/>
          <w:szCs w:val="24"/>
        </w:rPr>
        <w:t xml:space="preserve">3. Liquidity Architecture</w:t>
      </w:r>
    </w:p>
    <w:p>
      <w:pPr>
        <w:spacing w:after="140"/>
      </w:pPr>
      <w:r>
        <w:t xml:space="preserve">Design smart order routing and liquidity aggregation across market makers and external venues so early users see workable spreads instead of an illiquid, unusable order book.</w:t>
      </w:r>
    </w:p>
    <w:p>
      <w:pPr>
        <w:spacing w:after="60" w:before="160"/>
      </w:pPr>
      <w:r>
        <w:rPr>
          <w:b/>
          <w:bCs/>
          <w:sz w:val="24"/>
          <w:szCs w:val="24"/>
        </w:rPr>
        <w:t xml:space="preserve">4. Security Audit &amp; Load Testing</w:t>
      </w:r>
    </w:p>
    <w:p>
      <w:pPr>
        <w:spacing w:after="140"/>
      </w:pPr>
      <w:r>
        <w:t xml:space="preserve">Penetration testing of custody infrastructure, smart contract audits for DEX components, and load testing the matching engine against simulated peak-volatility trading volume, not just average conditions.</w:t>
      </w:r>
    </w:p>
    <w:p>
      <w:pPr>
        <w:spacing w:after="60" w:before="160"/>
      </w:pPr>
      <w:r>
        <w:rPr>
          <w:b/>
          <w:bCs/>
          <w:sz w:val="24"/>
          <w:szCs w:val="24"/>
        </w:rPr>
        <w:t xml:space="preserve">5. Launch &amp; Market Maker Integration</w:t>
      </w:r>
    </w:p>
    <w:p>
      <w:pPr>
        <w:spacing w:after="140"/>
      </w:pPr>
      <w:r>
        <w:t xml:space="preserve">Go-live with market maker integrations providing initial liquidity depth, real-time monitoring dashboards, and an incident-response plan rehearsed before real users arrive.</w:t>
      </w:r>
    </w:p>
    <w:p>
      <w:pPr>
        <w:pStyle w:val="Heading2"/>
        <w:spacing w:after="130" w:before="320"/>
      </w:pPr>
      <w:r>
        <w:t xml:space="preserve">5. Capabilities</w:t>
      </w:r>
    </w:p>
    <w:p>
      <w:pPr>
        <w:pStyle w:val="Heading3"/>
        <w:spacing w:after="80" w:before="200"/>
      </w:pPr>
      <w:r>
        <w:t xml:space="preserve">High-Performance Matching Engines</w:t>
      </w:r>
    </w:p>
    <w:p>
      <w:pPr>
        <w:spacing w:after="140"/>
      </w:pPr>
      <w:r>
        <w:t xml:space="preserve">Low-latency order matching supporting limit, market, and stop orders at scale, engineered for both raw throughput and price-time-priority fairness under contention.</w:t>
      </w:r>
    </w:p>
    <w:p>
      <w:pPr>
        <w:pStyle w:val="Heading3"/>
        <w:spacing w:after="80" w:before="200"/>
      </w:pPr>
      <w:r>
        <w:t xml:space="preserve">DEX &amp; AMM Development</w:t>
      </w:r>
    </w:p>
    <w:p>
      <w:pPr>
        <w:spacing w:after="140"/>
      </w:pPr>
      <w:r>
        <w:t xml:space="preserve">On-chain automated market maker and order-book DEX contracts with custom fee structures, routing logic, and MEV-resistance considerations built into the design.</w:t>
      </w:r>
    </w:p>
    <w:p>
      <w:pPr>
        <w:pStyle w:val="Heading3"/>
        <w:spacing w:after="80" w:before="200"/>
      </w:pPr>
      <w:r>
        <w:t xml:space="preserve">Custody &amp; Wallet Infrastructure</w:t>
      </w:r>
    </w:p>
    <w:p>
      <w:pPr>
        <w:spacing w:after="140"/>
      </w:pPr>
      <w:r>
        <w:t xml:space="preserve">Hot/cold wallet architecture, multi-signature and MPC custody, and withdrawal security controls engineered with the same discipline as institutional-grade custodians.</w:t>
      </w:r>
    </w:p>
    <w:p>
      <w:pPr>
        <w:pStyle w:val="Heading3"/>
        <w:spacing w:after="80" w:before="200"/>
      </w:pPr>
      <w:r>
        <w:t xml:space="preserve">Liquidity Aggregation</w:t>
      </w:r>
    </w:p>
    <w:p>
      <w:pPr>
        <w:spacing w:after="140"/>
      </w:pPr>
      <w:r>
        <w:t xml:space="preserve">Smart order routing across multiple liquidity sources and market makers to minimize slippage for traders, particularly critical in an exchange's early growth phase before organic depth builds.</w:t>
      </w:r>
    </w:p>
    <w:p>
      <w:pPr>
        <w:pStyle w:val="Heading3"/>
        <w:spacing w:after="80" w:before="200"/>
      </w:pPr>
      <w:r>
        <w:t xml:space="preserve">KYC/AML &amp; Compliance Integration</w:t>
      </w:r>
    </w:p>
    <w:p>
      <w:pPr>
        <w:spacing w:after="140"/>
      </w:pPr>
      <w:r>
        <w:t xml:space="preserve">Onboarding, transaction monitoring, and regulatory reporting infrastructure built directly into the exchange core from launch, not retrofitted after a regulator inquiry.</w:t>
      </w:r>
    </w:p>
    <w:p>
      <w:pPr>
        <w:pStyle w:val="Heading3"/>
        <w:spacing w:after="80" w:before="200"/>
      </w:pPr>
      <w:r>
        <w:t xml:space="preserve">Admin &amp; Risk Management Dashboards</w:t>
      </w:r>
    </w:p>
    <w:p>
      <w:pPr>
        <w:spacing w:after="140"/>
      </w:pPr>
      <w:r>
        <w:t xml:space="preserve">Real-time exposure monitoring, market surveillance for manipulative trading patterns, and operational controls giving exchange operators visibility before small problems become large ones.</w:t>
      </w:r>
    </w:p>
    <w:p>
      <w:pPr>
        <w:pStyle w:val="Heading2"/>
        <w:spacing w:after="130" w:before="320"/>
      </w:pPr>
      <w:r>
        <w:t xml:space="preserve">6. Performance Benchmarks We Build To</w:t>
      </w:r>
    </w:p>
    <w:p>
      <w:pPr>
        <w:pStyle w:val="ListParagraph"/>
        <w:numPr>
          <w:ilvl w:val="0"/>
          <w:numId w:val="2"/>
        </w:numPr>
        <w:spacing w:after="80"/>
      </w:pPr>
      <w:r>
        <w:rPr>
          <w:b/>
          <w:bCs/>
        </w:rPr>
        <w:t xml:space="preserve">Peak-volatility load testing — </w:t>
      </w:r>
      <w:r>
        <w:t xml:space="preserve">matching engines tested against simulated volume spikes, not average-day traffic</w:t>
      </w:r>
    </w:p>
    <w:p>
      <w:pPr>
        <w:pStyle w:val="ListParagraph"/>
        <w:numPr>
          <w:ilvl w:val="0"/>
          <w:numId w:val="2"/>
        </w:numPr>
        <w:spacing w:after="80"/>
      </w:pPr>
      <w:r>
        <w:rPr>
          <w:b/>
          <w:bCs/>
        </w:rPr>
        <w:t xml:space="preserve">Institutional-grade custody design — </w:t>
      </w:r>
      <w:r>
        <w:t xml:space="preserve">hot/cold wallet architecture reviewed to the same standard as regulated custodians</w:t>
      </w:r>
    </w:p>
    <w:p>
      <w:pPr>
        <w:pStyle w:val="ListParagraph"/>
        <w:numPr>
          <w:ilvl w:val="0"/>
          <w:numId w:val="2"/>
        </w:numPr>
        <w:spacing w:after="80"/>
      </w:pPr>
      <w:r>
        <w:rPr>
          <w:b/>
          <w:bCs/>
        </w:rPr>
        <w:t xml:space="preserve">Compliance from day one — </w:t>
      </w:r>
      <w:r>
        <w:t xml:space="preserve">KYC/AML monitoring integrated pre-launch, not added after a regulatory inquiry</w:t>
      </w:r>
    </w:p>
    <w:p>
      <w:pPr>
        <w:pStyle w:val="ListParagraph"/>
        <w:numPr>
          <w:ilvl w:val="0"/>
          <w:numId w:val="2"/>
        </w:numPr>
        <w:spacing w:after="80"/>
      </w:pPr>
      <w:r>
        <w:rPr>
          <w:b/>
          <w:bCs/>
        </w:rPr>
        <w:t xml:space="preserve">Multi-venue liquidity routing — </w:t>
      </w:r>
      <w:r>
        <w:t xml:space="preserve">designed to minimize slippage from an exchange's very first trading day</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DEX smart contract deployment across Ethereum and major L2s for lower trading fees.</w:t>
      </w:r>
    </w:p>
    <w:p>
      <w:pPr>
        <w:pStyle w:val="ListParagraph"/>
        <w:numPr>
          <w:ilvl w:val="0"/>
          <w:numId w:val="2"/>
        </w:numPr>
        <w:spacing w:after="80"/>
      </w:pPr>
      <w:r>
        <w:rPr>
          <w:b/>
          <w:bCs/>
        </w:rPr>
        <w:t xml:space="preserve">Solana — </w:t>
      </w:r>
      <w:r>
        <w:t xml:space="preserve">High-throughput on-chain order-book exchanges suited to high-frequency trading.</w:t>
      </w:r>
    </w:p>
    <w:p>
      <w:pPr>
        <w:pStyle w:val="ListParagraph"/>
        <w:numPr>
          <w:ilvl w:val="0"/>
          <w:numId w:val="2"/>
        </w:numPr>
        <w:spacing w:after="80"/>
      </w:pPr>
      <w:r>
        <w:rPr>
          <w:b/>
          <w:bCs/>
        </w:rPr>
        <w:t xml:space="preserve">BNB Chain — </w:t>
      </w:r>
      <w:r>
        <w:t xml:space="preserve">Cost-efficient DEX deployment for retail trading volume.</w:t>
      </w:r>
    </w:p>
    <w:p>
      <w:pPr>
        <w:pStyle w:val="ListParagraph"/>
        <w:numPr>
          <w:ilvl w:val="0"/>
          <w:numId w:val="2"/>
        </w:numPr>
        <w:spacing w:after="80"/>
      </w:pPr>
      <w:r>
        <w:rPr>
          <w:b/>
          <w:bCs/>
        </w:rPr>
        <w:t xml:space="preserve">Multi-chain — </w:t>
      </w:r>
      <w:r>
        <w:t xml:space="preserve">Cross-chain liquidity aggregation and bridging support for CEX backend infrastructure.</w:t>
      </w:r>
    </w:p>
    <w:p>
      <w:pPr>
        <w:pStyle w:val="Heading2"/>
        <w:spacing w:after="130" w:before="320"/>
      </w:pPr>
      <w:r>
        <w:t xml:space="preserve">8. Technology Stack</w:t>
      </w:r>
    </w:p>
    <w:p>
      <w:pPr>
        <w:pStyle w:val="Heading3"/>
        <w:spacing w:after="80" w:before="200"/>
      </w:pPr>
      <w:r>
        <w:t xml:space="preserve">Matching Engine</w:t>
      </w:r>
    </w:p>
    <w:p>
      <w:pPr>
        <w:spacing w:after="140"/>
      </w:pPr>
      <w:r>
        <w:t xml:space="preserve">C++, Go, Rust</w:t>
      </w:r>
    </w:p>
    <w:p>
      <w:pPr>
        <w:pStyle w:val="Heading3"/>
        <w:spacing w:after="80" w:before="200"/>
      </w:pPr>
      <w:r>
        <w:t xml:space="preserve">Smart Contracts</w:t>
      </w:r>
    </w:p>
    <w:p>
      <w:pPr>
        <w:spacing w:after="140"/>
      </w:pPr>
      <w:r>
        <w:t xml:space="preserve">Solidity, Rust (Solana programs)</w:t>
      </w:r>
    </w:p>
    <w:p>
      <w:pPr>
        <w:pStyle w:val="Heading3"/>
        <w:spacing w:after="80" w:before="200"/>
      </w:pPr>
      <w:r>
        <w:t xml:space="preserve">Custody</w:t>
      </w:r>
    </w:p>
    <w:p>
      <w:pPr>
        <w:spacing w:after="140"/>
      </w:pPr>
      <w:r>
        <w:t xml:space="preserve">MPC custody architecture, Multi-sig (Gnosis Safe), HSM integration</w:t>
      </w:r>
    </w:p>
    <w:p>
      <w:pPr>
        <w:pStyle w:val="Heading3"/>
        <w:spacing w:after="80" w:before="200"/>
      </w:pPr>
      <w:r>
        <w:t xml:space="preserve">Infrastructure</w:t>
      </w:r>
    </w:p>
    <w:p>
      <w:pPr>
        <w:spacing w:after="140"/>
      </w:pPr>
      <w:r>
        <w:t xml:space="preserve">Kubernetes, Redis, Kafka, PostgreSQL</w:t>
      </w:r>
    </w:p>
    <w:p>
      <w:pPr>
        <w:pStyle w:val="Heading3"/>
        <w:spacing w:after="80" w:before="200"/>
      </w:pPr>
      <w:r>
        <w:t xml:space="preserve">Compliance</w:t>
      </w:r>
    </w:p>
    <w:p>
      <w:pPr>
        <w:spacing w:after="140"/>
      </w:pPr>
      <w:r>
        <w:t xml:space="preserve">Transaction monitoring platforms, Sanctions screening APIs</w:t>
      </w:r>
    </w:p>
    <w:p>
      <w:pPr>
        <w:pStyle w:val="Heading2"/>
        <w:spacing w:after="130" w:before="320"/>
      </w:pPr>
      <w:r>
        <w:t xml:space="preserve">9. Failure Modes We Engineer Against</w:t>
      </w:r>
    </w:p>
    <w:p>
      <w:pPr>
        <w:pStyle w:val="Heading3"/>
        <w:spacing w:after="80" w:before="200"/>
      </w:pPr>
      <w:r>
        <w:t xml:space="preserve">Matching Engine Collapse Under Volatility Spikes</w:t>
      </w:r>
    </w:p>
    <w:p>
      <w:pPr>
        <w:spacing w:after="140"/>
      </w:pPr>
      <w:r>
        <w:t xml:space="preserve">Order volume during a sharp market move can be an order of magnitude above typical daily traffic, and engines only tested against average load buckle exactly when users most need them. We specifically load-test against volatility-spike scenarios, not just steady-state throughput.</w:t>
      </w:r>
    </w:p>
    <w:p>
      <w:pPr>
        <w:pStyle w:val="Heading3"/>
        <w:spacing w:after="80" w:before="200"/>
      </w:pPr>
      <w:r>
        <w:t xml:space="preserve">Custody Single Points of Failure</w:t>
      </w:r>
    </w:p>
    <w:p>
      <w:pPr>
        <w:spacing w:after="140"/>
      </w:pPr>
      <w:r>
        <w:t xml:space="preserve">Hot wallet compromises remain one of the largest sources of exchange losses industry-wide. We design multi-layered custody with MPC or multi-sig controls specifically so no single compromised key or system can drain user funds.</w:t>
      </w:r>
    </w:p>
    <w:p>
      <w:pPr>
        <w:pStyle w:val="Heading3"/>
        <w:spacing w:after="80" w:before="200"/>
      </w:pPr>
      <w:r>
        <w:t xml:space="preserve">Liquidity Fragmentation at Launch</w:t>
      </w:r>
    </w:p>
    <w:p>
      <w:pPr>
        <w:spacing w:after="140"/>
      </w:pPr>
      <w:r>
        <w:t xml:space="preserve">A new exchange with no organic liquidity produces terrible pricing for early users, who then leave before the exchange ever builds real depth. We architect market-maker integration and liquidity aggregation into the launch plan itself, not as a later fix.</w:t>
      </w:r>
    </w:p>
    <w:p>
      <w:pPr>
        <w:pStyle w:val="Heading3"/>
        <w:spacing w:after="80" w:before="200"/>
      </w:pPr>
      <w:r>
        <w:t xml:space="preserve">MEV Extraction on DEX Trades</w:t>
      </w:r>
    </w:p>
    <w:p>
      <w:pPr>
        <w:spacing w:after="140"/>
      </w:pPr>
      <w:r>
        <w:t xml:space="preserve">On-chain DEXs are vulnerable to sandwich attacks and other MEV extraction that quietly worsens execution for regular traders. We design routing and, where appropriate, private mempool or batch-auction mechanisms specifically to reduce this exposure.</w:t>
      </w:r>
    </w:p>
    <w:p>
      <w:pPr>
        <w:pStyle w:val="Heading2"/>
        <w:spacing w:after="130" w:before="320"/>
      </w:pPr>
      <w:r>
        <w:t xml:space="preserve">10. Why Exchange Operators Choose Quecko</w:t>
      </w:r>
    </w:p>
    <w:p>
      <w:pPr>
        <w:pStyle w:val="ListParagraph"/>
        <w:numPr>
          <w:ilvl w:val="0"/>
          <w:numId w:val="2"/>
        </w:numPr>
        <w:spacing w:after="80"/>
      </w:pPr>
      <w:r>
        <w:rPr>
          <w:b/>
          <w:bCs/>
        </w:rPr>
        <w:t xml:space="preserve">Performance Under Real Load — </w:t>
      </w:r>
      <w:r>
        <w:t xml:space="preserve">Matching engines are load-tested against realistic peak trading scenarios modeled on actual historical volatility events, not just functional correctness under clean conditions.</w:t>
      </w:r>
    </w:p>
    <w:p>
      <w:pPr>
        <w:pStyle w:val="ListParagraph"/>
        <w:numPr>
          <w:ilvl w:val="0"/>
          <w:numId w:val="2"/>
        </w:numPr>
        <w:spacing w:after="80"/>
      </w:pPr>
      <w:r>
        <w:rPr>
          <w:b/>
          <w:bCs/>
        </w:rPr>
        <w:t xml:space="preserve">Custody-Grade Security — </w:t>
      </w:r>
      <w:r>
        <w:t xml:space="preserve">Wallet and custody architecture built with the same security discipline as institutional custodians, not a simplified hot-wallet setup scaled up after the fact.</w:t>
      </w:r>
    </w:p>
    <w:p>
      <w:pPr>
        <w:pStyle w:val="ListParagraph"/>
        <w:numPr>
          <w:ilvl w:val="0"/>
          <w:numId w:val="2"/>
        </w:numPr>
        <w:spacing w:after="80"/>
      </w:pPr>
      <w:r>
        <w:rPr>
          <w:b/>
          <w:bCs/>
        </w:rPr>
        <w:t xml:space="preserve">CEX and DEX Fluency — </w:t>
      </w:r>
      <w:r>
        <w:t xml:space="preserve">We build both models with equal depth and can honestly advise on hybrid architectures rather than defaulting to whichever model our team happens to know better.</w:t>
      </w:r>
    </w:p>
    <w:p>
      <w:pPr>
        <w:pStyle w:val="ListParagraph"/>
        <w:numPr>
          <w:ilvl w:val="0"/>
          <w:numId w:val="2"/>
        </w:numPr>
        <w:spacing w:after="80"/>
      </w:pPr>
      <w:r>
        <w:rPr>
          <w:b/>
          <w:bCs/>
        </w:rPr>
        <w:t xml:space="preserve">Compliance Built In — </w:t>
      </w:r>
      <w:r>
        <w:t xml:space="preserve">KYC/AML and transaction monitoring infrastructure integrated from day one, not retrofitted in a scramble after a regulator asks uncomfortable questions.</w:t>
      </w:r>
    </w:p>
    <w:p>
      <w:pPr>
        <w:pStyle w:val="Heading2"/>
        <w:spacing w:after="130" w:before="320"/>
      </w:pPr>
      <w:r>
        <w:t xml:space="preserve">11. Engagement Models</w:t>
      </w:r>
    </w:p>
    <w:p>
      <w:pPr>
        <w:pStyle w:val="Heading3"/>
        <w:spacing w:after="80" w:before="200"/>
      </w:pPr>
      <w:r>
        <w:t xml:space="preserve">Full Exchange Build  (4–9 months typical)</w:t>
      </w:r>
    </w:p>
    <w:p>
      <w:pPr>
        <w:spacing w:after="140"/>
      </w:pPr>
      <w:r>
        <w:t xml:space="preserve">End-to-end CEX or DEX development from architecture and compliance scoping through audited, market-ready launch.</w:t>
      </w:r>
    </w:p>
    <w:p>
      <w:pPr>
        <w:pStyle w:val="Heading3"/>
        <w:spacing w:after="80" w:before="200"/>
      </w:pPr>
      <w:r>
        <w:t xml:space="preserve">Matching Engine / DEX Contract Only  (8–16 weeks)</w:t>
      </w:r>
    </w:p>
    <w:p>
      <w:pPr>
        <w:spacing w:after="140"/>
      </w:pPr>
      <w:r>
        <w:t xml:space="preserve">Core engine or smart contract development for teams building their own surrounding platform and UI.</w:t>
      </w:r>
    </w:p>
    <w:p>
      <w:pPr>
        <w:pStyle w:val="Heading3"/>
        <w:spacing w:after="80" w:before="200"/>
      </w:pPr>
      <w:r>
        <w:t xml:space="preserve">Dedicated Exchange Engineering Pod  (Ongoing)</w:t>
      </w:r>
    </w:p>
    <w:p>
      <w:pPr>
        <w:spacing w:after="140"/>
      </w:pPr>
      <w:r>
        <w:t xml:space="preserve">Embedded senior engineers for continuous exchange development, feature expansion, and scaling support.</w:t>
      </w:r>
    </w:p>
    <w:p>
      <w:pPr>
        <w:pStyle w:val="Heading2"/>
        <w:spacing w:after="130" w:before="320"/>
      </w:pPr>
      <w:r>
        <w:t xml:space="preserve">12. Proof in Production</w:t>
      </w:r>
    </w:p>
    <w:p>
      <w:pPr>
        <w:spacing w:after="140"/>
      </w:pPr>
      <w:r>
        <w:t xml:space="preserve">Pull any exchange-adjacent or high-throughput trading portfolio pieces available in the library; if none exist yet, prioritize the 'multi-chain' portfolio piece as the closest available proof of relevant infrastructure engineering depth.</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Should we build a CEX or a DEX?</w:t>
      </w:r>
    </w:p>
    <w:p>
      <w:pPr>
        <w:spacing w:after="140"/>
      </w:pPr>
      <w:r>
        <w:t xml:space="preserve">It depends heavily on your regulatory appetite, target user base, and custody preferences. A CEX generally offers better performance and easier fiat on-ramping but requires more direct regulatory exposure and custody responsibility; a DEX shifts custody risk to users but faces its own challenges around liquidity and MEV. We help assess this trade-off explicitly during the architecture scoping phase rather than assuming one model fits your situation by default.</w:t>
      </w:r>
    </w:p>
    <w:p>
      <w:pPr>
        <w:pStyle w:val="Heading3"/>
        <w:spacing w:after="80" w:before="200"/>
      </w:pPr>
      <w:r>
        <w:t xml:space="preserve">How much trading volume can your matching engine handle?</w:t>
      </w:r>
    </w:p>
    <w:p>
      <w:pPr>
        <w:spacing w:after="140"/>
      </w:pPr>
      <w:r>
        <w:t xml:space="preserve">Throughput is engineered to your specific requirements rather than a fixed off-the-shelf number, since the right target depends on your expected user base and asset volatility profile. We load-test against your expected peak volume — not average volume — before launch, since peak conditions are when an underbuilt engine actually fails.</w:t>
      </w:r>
    </w:p>
    <w:p>
      <w:pPr>
        <w:pStyle w:val="Heading3"/>
        <w:spacing w:after="80" w:before="200"/>
      </w:pPr>
      <w:r>
        <w:t xml:space="preserve">Do you handle exchange licensing?</w:t>
      </w:r>
    </w:p>
    <w:p>
      <w:pPr>
        <w:spacing w:after="140"/>
      </w:pPr>
      <w:r>
        <w:t xml:space="preserve">We architect the exchange with compliance requirements in mind from the start and connect you with our Compliance &amp; Legal Advisory team for the actual licensing process — VASP registration, MSB/MTL applications, and jurisdiction strategy are handled as a coordinated, connected workstream rather than an afterthought bolted onto a finished product.</w:t>
      </w:r>
    </w:p>
    <w:p>
      <w:pPr>
        <w:pStyle w:val="Heading3"/>
        <w:spacing w:after="80" w:before="200"/>
      </w:pPr>
      <w:r>
        <w:t xml:space="preserve">Can a DEX and CEX share liquidity?</w:t>
      </w:r>
    </w:p>
    <w:p>
      <w:pPr>
        <w:spacing w:after="140"/>
      </w:pPr>
      <w:r>
        <w:t xml:space="preserve">Yes — hybrid architectures with shared liquidity pools or aggregated order books spanning both on-chain and off-chain venues are a common design pattern we support, particularly for exchanges wanting to offer both custodial convenience and non-custodial trading options under one brand.</w:t>
      </w:r>
    </w:p>
    <w:p>
      <w:pPr>
        <w:pStyle w:val="Heading3"/>
        <w:spacing w:after="80" w:before="200"/>
      </w:pPr>
      <w:r>
        <w:t xml:space="preserve">How do you prevent internal fraud or insider abuse at a CEX?</w:t>
      </w:r>
    </w:p>
    <w:p>
      <w:pPr>
        <w:spacing w:after="140"/>
      </w:pPr>
      <w:r>
        <w:t xml:space="preserve">Through segregated duties in custody operations, multi-approval withdrawal workflows requiring more than one authorized party, comprehensive audit logging of all administrative actions, and real-time monitoring dashboards that flag anomalous internal activity — not just external attack patterns.</w:t>
      </w:r>
    </w:p>
    <w:p>
      <w:pPr>
        <w:pStyle w:val="Heading3"/>
        <w:spacing w:after="80" w:before="200"/>
      </w:pPr>
      <w:r>
        <w:t xml:space="preserve">What happens if we need to add new trading pairs or asset types later?</w:t>
      </w:r>
    </w:p>
    <w:p>
      <w:pPr>
        <w:spacing w:after="140"/>
      </w:pPr>
      <w:r>
        <w:t xml:space="preserve">The matching engine and listing infrastructure are designed to support new asset listings without requiring a core rebuild — new pairs typically require risk assessment, liquidity provisioning, and compliance review specific to that asset, but not a fundamental re-architecture of the exchange itself.</w:t>
      </w:r>
    </w:p>
    <w:p>
      <w:pPr>
        <w:pStyle w:val="Heading2"/>
        <w:spacing w:after="130" w:before="320"/>
      </w:pPr>
      <w:r>
        <w:t xml:space="preserve">15. Closing CTA</w:t>
      </w:r>
    </w:p>
    <w:p>
      <w:pPr>
        <w:spacing w:after="140"/>
      </w:pPr>
      <w:r>
        <w:t xml:space="preserve">Ready to build an exchange that holds up on its most volatile trading day, not just its calmest?</w:t>
      </w:r>
    </w:p>
    <w:p>
      <w:pPr>
        <w:spacing w:after="160"/>
      </w:pPr>
      <w:r>
        <w:rPr>
          <w:i/>
          <w:iCs/>
        </w:rPr>
        <w:t xml:space="preserve">CTA Buttons: "Talk to an Exchange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2026-08-03T14:07:07.119Z</dcterms:created>
  <dcterms:modified xsi:type="dcterms:W3CDTF">2026-08-03T14:07:07.119Z</dcterms:modified>
</cp:coreProperties>
</file>

<file path=docProps/custom.xml><?xml version="1.0" encoding="utf-8"?>
<Properties xmlns="http://schemas.openxmlformats.org/officeDocument/2006/custom-properties" xmlns:vt="http://schemas.openxmlformats.org/officeDocument/2006/docPropsVTypes"/>
</file>