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60"/>
      </w:pPr>
      <w:r>
        <w:t xml:space="preserve">DeFi Platform Development</w:t>
      </w:r>
    </w:p>
    <w:p>
      <w:pPr>
        <w:spacing w:after="160"/>
      </w:pPr>
      <w:r>
        <w:rPr>
          <w:i/>
          <w:iCs/>
        </w:rPr>
        <w:t xml:space="preserve">Suggested URL: quecko.com/services/web3/defi-platforms</w:t>
      </w:r>
    </w:p>
    <w:p>
      <w:pPr>
        <w:spacing w:after="100"/>
      </w:pPr>
      <w:r>
        <w:rPr>
          <w:b/>
          <w:bCs/>
        </w:rPr>
        <w:t xml:space="preserve">Meta Title: </w:t>
      </w:r>
      <w:r>
        <w:t xml:space="preserve">DeFi Platform Development Services — AMMs, Lending, Vaults | Quecko</w:t>
      </w:r>
    </w:p>
    <w:p>
      <w:pPr>
        <w:spacing w:after="100"/>
      </w:pPr>
      <w:r>
        <w:rPr>
          <w:b/>
          <w:bCs/>
        </w:rPr>
        <w:t xml:space="preserve">Meta Description: </w:t>
      </w:r>
      <w:r>
        <w:t xml:space="preserve">Quecko builds DeFi protocols — AMMs, lending markets, yield vaults, and derivatives platforms — engineered for security, capital efficiency, and sustainable tokenomics.</w:t>
      </w:r>
    </w:p>
    <w:p>
      <w:pPr>
        <w:spacing w:after="100"/>
      </w:pPr>
      <w:r>
        <w:rPr>
          <w:b/>
          <w:bCs/>
        </w:rPr>
        <w:t xml:space="preserve">One-Line Positioning: </w:t>
      </w:r>
      <w:r>
        <w:t xml:space="preserve">DeFi engineering where the economics get the same rigor as the code.</w:t>
      </w:r>
    </w:p>
    <w:p>
      <w:pPr>
        <w:pBdr>
          <w:bottom w:val="single" w:color="999999" w:sz="6" w:space="1"/>
        </w:pBdr>
        <w:spacing w:after="220"/>
      </w:pPr>
    </w:p>
    <w:p>
      <w:pPr>
        <w:pStyle w:val="Heading2"/>
        <w:spacing w:after="130" w:before="320"/>
      </w:pPr>
      <w:r>
        <w:t xml:space="preserve">Developer Build Spec — Page Layout &amp; Section Order</w:t>
      </w:r>
    </w:p>
    <w:p>
      <w:pPr>
        <w:spacing w:after="140"/>
      </w:pPr>
      <w:r>
        <w:t xml:space="preserve">This is the full section order for this page, top to bottom, with layout and component notes for each. Content for every section below follows in the same order.</w:t>
      </w:r>
    </w:p>
    <w:p>
      <w:pPr>
        <w:pStyle w:val="Heading3"/>
        <w:spacing w:after="80" w:before="200"/>
      </w:pPr>
      <w:r>
        <w:t xml:space="preserve">1. Hero</w:t>
      </w:r>
    </w:p>
    <w:p>
      <w:pPr>
        <w:spacing w:after="140"/>
      </w:pPr>
      <w:r>
        <w:t xml:space="preserve">Full-bleed background (video loop or an animated liquidity flow diagram — token streams moving between pool, vault, and lending market nodes in a continuous loop). Headline (2 rotating/A-B testable variants provided below), one-line subhead, dual CTA buttons, and the standard 4-stat ticker row underneath.</w:t>
      </w:r>
    </w:p>
    <w:p>
      <w:pPr>
        <w:pStyle w:val="Heading3"/>
        <w:spacing w:after="80" w:before="200"/>
      </w:pPr>
      <w:r>
        <w:t xml:space="preserve">2. Money Legos, Real Money</w:t>
      </w:r>
    </w:p>
    <w:p>
      <w:pPr>
        <w:spacing w:after="140"/>
      </w:pPr>
      <w:r>
        <w:t xml:space="preserve">Split two-column layout — text block on the left, a large single stat or lightweight animated icon on the right. Short section (150–200 words), sets context before the problem statement. Not a repeat of the hero.</w:t>
      </w:r>
    </w:p>
    <w:p>
      <w:pPr>
        <w:pStyle w:val="Heading3"/>
        <w:spacing w:after="80" w:before="200"/>
      </w:pPr>
      <w:r>
        <w:t xml:space="preserve">3. Where DeFi Protocols Actually Fail</w:t>
      </w:r>
    </w:p>
    <w:p>
      <w:pPr>
        <w:spacing w:after="140"/>
      </w:pPr>
      <w:r>
        <w:t xml:space="preserve">Centered narrative paragraph, followed by a two-column "Old Way vs. Quecko Way" comparison list — undefined</w:t>
      </w:r>
    </w:p>
    <w:p>
      <w:pPr>
        <w:pStyle w:val="Heading3"/>
        <w:spacing w:after="80" w:before="200"/>
      </w:pPr>
      <w:r>
        <w:t xml:space="preserve">4. From Mechanism Design to Mainnet Liquidity</w:t>
      </w:r>
    </w:p>
    <w:p>
      <w:pPr>
        <w:spacing w:after="140"/>
      </w:pPr>
      <w:r>
        <w:t xml:space="preserve">Horizontal scroll-triggered stepper/timeline component (5 steps) — reuse the existing numbered-step animation pattern from the Layer 1/2 and DeFi pages, extended from 4 to 5 steps.</w:t>
      </w:r>
    </w:p>
    <w:p>
      <w:pPr>
        <w:pStyle w:val="Heading3"/>
        <w:spacing w:after="80" w:before="200"/>
      </w:pPr>
      <w:r>
        <w:t xml:space="preserve">5. Capabilities</w:t>
      </w:r>
    </w:p>
    <w:p>
      <w:pPr>
        <w:spacing w:after="140"/>
      </w:pPr>
      <w:r>
        <w:t xml:space="preserve">6–8 card grid, same visual pattern as existing site cards, but add a small custom icon per card (not just text) — this is the single biggest 'empty space' fix across all 13 pages.</w:t>
      </w:r>
    </w:p>
    <w:p>
      <w:pPr>
        <w:pStyle w:val="Heading3"/>
        <w:spacing w:after="80" w:before="200"/>
      </w:pPr>
      <w:r>
        <w:t xml:space="preserve">6. Capital-Efficiency Benchmarks We Build To</w:t>
      </w:r>
    </w:p>
    <w:p>
      <w:pPr>
        <w:spacing w:after="140"/>
      </w:pPr>
      <w:r>
        <w:t xml:space="preserve">Horizontal strip of 4 large-numeral stat callouts with a one-line caption under each — visually distinct from the hero stat ticker (different styling/weight), positioned as a mid-page credibility break.</w:t>
      </w:r>
    </w:p>
    <w:p>
      <w:pPr>
        <w:pStyle w:val="Heading3"/>
        <w:spacing w:after="80" w:before="200"/>
      </w:pPr>
      <w:r>
        <w:t xml:space="preserve">7. Ecosystem / Chain Coverage</w:t>
      </w:r>
    </w:p>
    <w:p>
      <w:pPr>
        <w:spacing w:after="140"/>
      </w:pPr>
      <w:r>
        <w:t xml:space="preserve">Logo grid matching the existing Layer 1/2 page pattern — this section is currently missing on several pages and is a direct fix for empty space.</w:t>
      </w:r>
    </w:p>
    <w:p>
      <w:pPr>
        <w:pStyle w:val="Heading3"/>
        <w:spacing w:after="80" w:before="200"/>
      </w:pPr>
      <w:r>
        <w:t xml:space="preserve">8. Technology Stack</w:t>
      </w:r>
    </w:p>
    <w:p>
      <w:pPr>
        <w:spacing w:after="140"/>
      </w:pPr>
      <w:r>
        <w:t xml:space="preserve">Grouped icon list by category, same pattern as the existing Layer 1/2 page's Technology section.</w:t>
      </w:r>
    </w:p>
    <w:p>
      <w:pPr>
        <w:pStyle w:val="Heading3"/>
        <w:spacing w:after="80" w:before="200"/>
      </w:pPr>
      <w:r>
        <w:t xml:space="preserve">9. Attack Vectors We Design Against</w:t>
      </w:r>
    </w:p>
    <w:p>
      <w:pPr>
        <w:spacing w:after="140"/>
      </w:pPr>
      <w:r>
        <w:t xml:space="preserve">Icon-list or accordion component — undefined This is new content not currently on the site; treat it as a trust/credibility section, positioned right before the differentiators section.</w:t>
      </w:r>
    </w:p>
    <w:p>
      <w:pPr>
        <w:pStyle w:val="Heading3"/>
        <w:spacing w:after="80" w:before="200"/>
      </w:pPr>
      <w:r>
        <w:t xml:space="preserve">10. Why Protocols Choose Quecko</w:t>
      </w:r>
    </w:p>
    <w:p>
      <w:pPr>
        <w:spacing w:after="140"/>
      </w:pPr>
      <w:r>
        <w:t xml:space="preserve">4-card differentiator grid, same pattern as existing 'Our Edge' section.</w:t>
      </w:r>
    </w:p>
    <w:p>
      <w:pPr>
        <w:pStyle w:val="Heading3"/>
        <w:spacing w:after="80" w:before="200"/>
      </w:pPr>
      <w:r>
        <w:t xml:space="preserve">11. Engagement Models</w:t>
      </w:r>
    </w:p>
    <w:p>
      <w:pPr>
        <w:spacing w:after="140"/>
      </w:pPr>
      <w:r>
        <w:t xml:space="preserve">3-card grid — add an indicative timeframe/format badge on each card (e.g. '8–12 weeks', 'Ongoing retainer') since this detail is currently missing site-wide and buyers look for it immediately.</w:t>
      </w:r>
    </w:p>
    <w:p>
      <w:pPr>
        <w:pStyle w:val="Heading3"/>
        <w:spacing w:after="80" w:before="200"/>
      </w:pPr>
      <w:r>
        <w:t xml:space="preserve">12. Proof in Production</w:t>
      </w:r>
    </w:p>
    <w:p>
      <w:pPr>
        <w:spacing w:after="140"/>
      </w:pPr>
      <w:r>
        <w:t xml:space="preserve">Reuse the existing portfolio video-grid component, filtered to the most relevant 2–4 projects for this specific service — do not fabricate a case study; pull from the real portfolio library.</w:t>
      </w:r>
    </w:p>
    <w:p>
      <w:pPr>
        <w:pStyle w:val="Heading3"/>
        <w:spacing w:after="80" w:before="200"/>
      </w:pPr>
      <w:r>
        <w:t xml:space="preserve">13. Testimonial</w:t>
      </w:r>
    </w:p>
    <w:p>
      <w:pPr>
        <w:spacing w:after="140"/>
      </w:pPr>
      <w:r>
        <w:t xml:space="preserve">Reuse the existing testimonial video/quote component as-is.</w:t>
      </w:r>
    </w:p>
    <w:p>
      <w:pPr>
        <w:pStyle w:val="Heading3"/>
        <w:spacing w:after="80" w:before="200"/>
      </w:pPr>
      <w:r>
        <w:t xml:space="preserve">14. FAQ</w:t>
      </w:r>
    </w:p>
    <w:p>
      <w:pPr>
        <w:spacing w:after="140"/>
      </w:pPr>
      <w:r>
        <w:t xml:space="preserve">Accordion component, same pattern as existing FAQ sections, expanded to 6 questions with deeper answers (provided below).</w:t>
      </w:r>
    </w:p>
    <w:p>
      <w:pPr>
        <w:pStyle w:val="Heading3"/>
        <w:spacing w:after="80" w:before="200"/>
      </w:pPr>
      <w:r>
        <w:t xml:space="preserve">15. Closing CTA</w:t>
      </w:r>
    </w:p>
    <w:p>
      <w:pPr>
        <w:spacing w:after="140"/>
      </w:pPr>
      <w:r>
        <w:t xml:space="preserve">Standard closing banner with the two CTA variants provided below.</w:t>
      </w:r>
    </w:p>
    <w:p>
      <w:pPr>
        <w:pBdr>
          <w:bottom w:val="single" w:color="999999" w:sz="6" w:space="1"/>
        </w:pBdr>
        <w:spacing w:after="220"/>
      </w:pPr>
    </w:p>
    <w:p>
      <w:pPr>
        <w:pStyle w:val="Heading2"/>
        <w:spacing w:after="130" w:before="320"/>
      </w:pPr>
      <w:r>
        <w:t xml:space="preserve">1. Hero</w:t>
      </w:r>
    </w:p>
    <w:p>
      <w:pPr>
        <w:pStyle w:val="Heading3"/>
        <w:spacing w:after="80" w:before="200"/>
      </w:pPr>
      <w:r>
        <w:t xml:space="preserve">Headline — Option A</w:t>
      </w:r>
    </w:p>
    <w:p>
      <w:pPr>
        <w:spacing w:after="140"/>
      </w:pPr>
      <w:r>
        <w:t xml:space="preserve">Protocols Engineered for Real Capital, Not Just Real Code.</w:t>
      </w:r>
    </w:p>
    <w:p>
      <w:pPr>
        <w:pStyle w:val="Heading3"/>
        <w:spacing w:after="80" w:before="200"/>
      </w:pPr>
      <w:r>
        <w:t xml:space="preserve">Headline — Option B</w:t>
      </w:r>
    </w:p>
    <w:p>
      <w:pPr>
        <w:spacing w:after="140"/>
      </w:pPr>
      <w:r>
        <w:t xml:space="preserve">Where Capital Efficiency Meets Actual Security.</w:t>
      </w:r>
    </w:p>
    <w:p>
      <w:pPr>
        <w:pStyle w:val="Heading3"/>
        <w:spacing w:after="80" w:before="200"/>
      </w:pPr>
      <w:r>
        <w:t xml:space="preserve">Subheadline</w:t>
      </w:r>
    </w:p>
    <w:p>
      <w:pPr>
        <w:spacing w:after="140"/>
      </w:pPr>
      <w:r>
        <w:t xml:space="preserve">Quecko designs and builds DeFi protocols end-to-end — automated market makers, lending and borrowing markets, yield vaults, and derivatives platforms — with the economic modeling and security rigor real capital demands, not just a passing audit.</w:t>
      </w:r>
    </w:p>
    <w:p>
      <w:pPr>
        <w:spacing w:after="160"/>
      </w:pPr>
      <w:r>
        <w:rPr>
          <w:i/>
          <w:iCs/>
        </w:rPr>
        <w:t xml:space="preserve">CTA Buttons: "Talk to a DeFi Engineer"  /  "Explore Our Work"</w:t>
      </w:r>
    </w:p>
    <w:p>
      <w:pPr>
        <w:spacing w:after="140"/>
      </w:pPr>
      <w:r>
        <w:t xml:space="preserve">Stat ticker (standard, reused site-wide): 400+ clients across 20+ countries · $300M+ in funds generated · 250+ products built · 150+ engineers worldwide</w:t>
      </w:r>
    </w:p>
    <w:p>
      <w:pPr>
        <w:pStyle w:val="Heading2"/>
        <w:spacing w:after="130" w:before="320"/>
      </w:pPr>
      <w:r>
        <w:t xml:space="preserve">2. Money Legos, Real Money</w:t>
      </w:r>
    </w:p>
    <w:p>
      <w:pPr>
        <w:spacing w:after="140"/>
      </w:pPr>
      <w:r>
        <w:t xml:space="preserve">DeFi's defining feature — that protocols can plug into each other permissionlessly, routing liquidity and composing new financial products on the fly — is also its defining risk. A vulnerability or a poorly modeled incentive in one protocol can cascade through every other protocol built on top of it, and the total value flowing through these interconnected systems has grown large enough that market participants and institutional allocators now expect the same rigor from a lending protocol that they'd expect from a bank's risk desk, not a hackathon project.</w:t>
      </w:r>
    </w:p>
    <w:p>
      <w:pPr>
        <w:pStyle w:val="Heading2"/>
        <w:spacing w:after="130" w:before="320"/>
      </w:pPr>
      <w:r>
        <w:t xml:space="preserve">3. Where DeFi Protocols Actually Fail</w:t>
      </w:r>
    </w:p>
    <w:p>
      <w:pPr>
        <w:spacing w:after="140"/>
      </w:pPr>
      <w:r>
        <w:t xml:space="preserve">DeFi protocols fail in two distinct ways, and most teams only defend against one of them: exploited smart contracts, or economically unsound designs that collapse under real market stress even when the code itself is technically flawless. Teams pour their security budget into contract audits and leave the economic model essentially untested — building AMMs vulnerable to impermanent-loss death spirals during volatility, or lending markets with liquidation logic that works fine in a spreadsheet but breaks the moment a real flash crash hits multiple correlated assets simultaneously. Quecko engineers both the code and the economics together, because a perfectly secure contract enforcing a broken economic model still loses users money.</w:t>
      </w:r>
    </w:p>
    <w:p>
      <w:pPr>
        <w:pStyle w:val="Heading3"/>
        <w:spacing w:after="80" w:before="200"/>
      </w:pPr>
      <w:r>
        <w:t xml:space="preserve">The Old Way</w:t>
      </w:r>
    </w:p>
    <w:p>
      <w:pPr>
        <w:pStyle w:val="ListParagraph"/>
        <w:numPr>
          <w:ilvl w:val="0"/>
          <w:numId w:val="2"/>
        </w:numPr>
        <w:spacing w:after="70"/>
      </w:pPr>
      <w:r>
        <w:t xml:space="preserve">Audit the smart contract code, assume the tokenomics 'will work itself out'</w:t>
      </w:r>
    </w:p>
    <w:p>
      <w:pPr>
        <w:pStyle w:val="ListParagraph"/>
        <w:numPr>
          <w:ilvl w:val="0"/>
          <w:numId w:val="2"/>
        </w:numPr>
        <w:spacing w:after="70"/>
      </w:pPr>
      <w:r>
        <w:t xml:space="preserve">Test against historical average market conditions, not stress scenarios</w:t>
      </w:r>
    </w:p>
    <w:p>
      <w:pPr>
        <w:pStyle w:val="ListParagraph"/>
        <w:numPr>
          <w:ilvl w:val="0"/>
          <w:numId w:val="2"/>
        </w:numPr>
        <w:spacing w:after="70"/>
      </w:pPr>
      <w:r>
        <w:t xml:space="preserve">Launch with unbootstrapped liquidity and hope incentives attract it organically</w:t>
      </w:r>
    </w:p>
    <w:p>
      <w:pPr>
        <w:pStyle w:val="ListParagraph"/>
        <w:numPr>
          <w:ilvl w:val="0"/>
          <w:numId w:val="2"/>
        </w:numPr>
        <w:spacing w:after="70"/>
      </w:pPr>
      <w:r>
        <w:t xml:space="preserve">Treat oracle integration as a plug-and-play afterthought</w:t>
      </w:r>
    </w:p>
    <w:p>
      <w:pPr>
        <w:pStyle w:val="Heading3"/>
        <w:spacing w:after="80" w:before="200"/>
      </w:pPr>
      <w:r>
        <w:t xml:space="preserve">The Quecko Way</w:t>
      </w:r>
    </w:p>
    <w:p>
      <w:pPr>
        <w:pStyle w:val="ListParagraph"/>
        <w:numPr>
          <w:ilvl w:val="0"/>
          <w:numId w:val="2"/>
        </w:numPr>
        <w:spacing w:after="70"/>
      </w:pPr>
      <w:r>
        <w:t xml:space="preserve">Simulate the protocol's economic model against adversarial and historical crisis scenarios before writing final code</w:t>
      </w:r>
    </w:p>
    <w:p>
      <w:pPr>
        <w:pStyle w:val="ListParagraph"/>
        <w:numPr>
          <w:ilvl w:val="0"/>
          <w:numId w:val="2"/>
        </w:numPr>
        <w:spacing w:after="70"/>
      </w:pPr>
      <w:r>
        <w:t xml:space="preserve">Stress-test liquidation and collateral logic against flash-crash and correlated-asset-collapse conditions</w:t>
      </w:r>
    </w:p>
    <w:p>
      <w:pPr>
        <w:pStyle w:val="ListParagraph"/>
        <w:numPr>
          <w:ilvl w:val="0"/>
          <w:numId w:val="2"/>
        </w:numPr>
        <w:spacing w:after="70"/>
      </w:pPr>
      <w:r>
        <w:t xml:space="preserve">Design and execute a liquidity bootstrapping strategy as part of the launch plan, not an afterthought</w:t>
      </w:r>
    </w:p>
    <w:p>
      <w:pPr>
        <w:pStyle w:val="ListParagraph"/>
        <w:numPr>
          <w:ilvl w:val="0"/>
          <w:numId w:val="2"/>
        </w:numPr>
        <w:spacing w:after="70"/>
      </w:pPr>
      <w:r>
        <w:t xml:space="preserve">Select and integrate oracle architecture based on manipulation resistance specific to your asset types</w:t>
      </w:r>
    </w:p>
    <w:p>
      <w:pPr>
        <w:pStyle w:val="Heading2"/>
        <w:spacing w:after="130" w:before="320"/>
      </w:pPr>
      <w:r>
        <w:t xml:space="preserve">4. From Mechanism Design to Mainnet Liquidity</w:t>
      </w:r>
    </w:p>
    <w:p>
      <w:pPr>
        <w:spacing w:after="60" w:before="160"/>
      </w:pPr>
      <w:r>
        <w:rPr>
          <w:b/>
          <w:bCs/>
          <w:sz w:val="24"/>
          <w:szCs w:val="24"/>
        </w:rPr>
        <w:t xml:space="preserve">1. Protocol &amp; Tokenomics Design</w:t>
      </w:r>
    </w:p>
    <w:p>
      <w:pPr>
        <w:spacing w:after="140"/>
      </w:pPr>
      <w:r>
        <w:t xml:space="preserve">We model the core mechanism — AMM curve shape, lending rate model, or vault strategy logic — and stress-test it against adversarial and historical market scenarios before a single production contract is written.</w:t>
      </w:r>
    </w:p>
    <w:p>
      <w:pPr>
        <w:spacing w:after="60" w:before="160"/>
      </w:pPr>
      <w:r>
        <w:rPr>
          <w:b/>
          <w:bCs/>
          <w:sz w:val="24"/>
          <w:szCs w:val="24"/>
        </w:rPr>
        <w:t xml:space="preserve">2. Smart Contract Development</w:t>
      </w:r>
    </w:p>
    <w:p>
      <w:pPr>
        <w:spacing w:after="140"/>
      </w:pPr>
      <w:r>
        <w:t xml:space="preserve">Core protocol contracts are built with full test coverage, using battle-tested design patterns and audited libraries wherever a proven building block already exists, rather than reinventing core primitives from scratch.</w:t>
      </w:r>
    </w:p>
    <w:p>
      <w:pPr>
        <w:spacing w:after="60" w:before="160"/>
      </w:pPr>
      <w:r>
        <w:rPr>
          <w:b/>
          <w:bCs/>
          <w:sz w:val="24"/>
          <w:szCs w:val="24"/>
        </w:rPr>
        <w:t xml:space="preserve">3. Security Audit &amp; Economic Simulation</w:t>
      </w:r>
    </w:p>
    <w:p>
      <w:pPr>
        <w:spacing w:after="140"/>
      </w:pPr>
      <w:r>
        <w:t xml:space="preserve">Independent security audit runs alongside agent-based economic simulation of the protocol under stress — flash crashes, mass liquidity withdrawal runs, and attempted oracle manipulation — so both the code and the economics are validated before real capital arrives.</w:t>
      </w:r>
    </w:p>
    <w:p>
      <w:pPr>
        <w:spacing w:after="60" w:before="160"/>
      </w:pPr>
      <w:r>
        <w:rPr>
          <w:b/>
          <w:bCs/>
          <w:sz w:val="24"/>
          <w:szCs w:val="24"/>
        </w:rPr>
        <w:t xml:space="preserve">4. Liquidity Bootstrapping Strategy</w:t>
      </w:r>
    </w:p>
    <w:p>
      <w:pPr>
        <w:spacing w:after="140"/>
      </w:pPr>
      <w:r>
        <w:t xml:space="preserve">We design the specific mechanism — liquidity mining incentives, protocol-owned liquidity, or partnership-based seeding — that gets the protocol real depth from day one instead of launching into an empty, unusable pool.</w:t>
      </w:r>
    </w:p>
    <w:p>
      <w:pPr>
        <w:spacing w:after="60" w:before="160"/>
      </w:pPr>
      <w:r>
        <w:rPr>
          <w:b/>
          <w:bCs/>
          <w:sz w:val="24"/>
          <w:szCs w:val="24"/>
        </w:rPr>
        <w:t xml:space="preserve">5. Launch &amp; Ongoing Monitoring</w:t>
      </w:r>
    </w:p>
    <w:p>
      <w:pPr>
        <w:spacing w:after="140"/>
      </w:pPr>
      <w:r>
        <w:t xml:space="preserve">Mainnet deployment paired with real-time monitoring dashboards tracking TVL, utilization, and health-factor distributions, so emerging risk concentrations are visible before they become a crisis.</w:t>
      </w:r>
    </w:p>
    <w:p>
      <w:pPr>
        <w:pStyle w:val="Heading2"/>
        <w:spacing w:after="130" w:before="320"/>
      </w:pPr>
      <w:r>
        <w:t xml:space="preserve">5. Capabilities</w:t>
      </w:r>
    </w:p>
    <w:p>
      <w:pPr>
        <w:pStyle w:val="Heading3"/>
        <w:spacing w:after="80" w:before="200"/>
      </w:pPr>
      <w:r>
        <w:t xml:space="preserve">AMMs &amp; DEX Engineering</w:t>
      </w:r>
    </w:p>
    <w:p>
      <w:pPr>
        <w:spacing w:after="140"/>
      </w:pPr>
      <w:r>
        <w:t xml:space="preserve">Constant-product, stableswap, and concentrated-liquidity AMM design, with custom fee tiers and routing logic tuned to the specific volatility profile of the assets being traded.</w:t>
      </w:r>
    </w:p>
    <w:p>
      <w:pPr>
        <w:pStyle w:val="Heading3"/>
        <w:spacing w:after="80" w:before="200"/>
      </w:pPr>
      <w:r>
        <w:t xml:space="preserve">Lending &amp; Borrowing Markets</w:t>
      </w:r>
    </w:p>
    <w:p>
      <w:pPr>
        <w:spacing w:after="140"/>
      </w:pPr>
      <w:r>
        <w:t xml:space="preserve">Collateralized lending protocols with dynamic interest rate models, liquidation engines, and risk-tiered asset listings that isolate risk between volatile and stable collateral classes.</w:t>
      </w:r>
    </w:p>
    <w:p>
      <w:pPr>
        <w:pStyle w:val="Heading3"/>
        <w:spacing w:after="80" w:before="200"/>
      </w:pPr>
      <w:r>
        <w:t xml:space="preserve">Yield Vaults &amp; Auto-Compounding</w:t>
      </w:r>
    </w:p>
    <w:p>
      <w:pPr>
        <w:spacing w:after="140"/>
      </w:pPr>
      <w:r>
        <w:t xml:space="preserve">Strategy vaults that route capital across yield sources automatically, with fee structures and withdrawal logic engineered for genuine capital efficiency rather than headline APY that quietly erodes principal.</w:t>
      </w:r>
    </w:p>
    <w:p>
      <w:pPr>
        <w:pStyle w:val="Heading3"/>
        <w:spacing w:after="80" w:before="200"/>
      </w:pPr>
      <w:r>
        <w:t xml:space="preserve">Derivatives &amp; Perpetuals</w:t>
      </w:r>
    </w:p>
    <w:p>
      <w:pPr>
        <w:spacing w:after="140"/>
      </w:pPr>
      <w:r>
        <w:t xml:space="preserve">Perpetual futures and options protocols with funding rate mechanisms, oracle-based pricing, and liquidation engines built to remain solvent through genuinely volatile, thin-liquidity conditions.</w:t>
      </w:r>
    </w:p>
    <w:p>
      <w:pPr>
        <w:pStyle w:val="Heading3"/>
        <w:spacing w:after="80" w:before="200"/>
      </w:pPr>
      <w:r>
        <w:t xml:space="preserve">Cross-Protocol Composability</w:t>
      </w:r>
    </w:p>
    <w:p>
      <w:pPr>
        <w:spacing w:after="140"/>
      </w:pPr>
      <w:r>
        <w:t xml:space="preserve">Contracts designed to safely integrate with other DeFi money-legos — flash loan compatibility, standard oracle interfaces, and integration-safe external call patterns that don't introduce reentrancy risk when other protocols call into yours.</w:t>
      </w:r>
    </w:p>
    <w:p>
      <w:pPr>
        <w:pStyle w:val="Heading3"/>
        <w:spacing w:after="80" w:before="200"/>
      </w:pPr>
      <w:r>
        <w:t xml:space="preserve">Tokenomics &amp; Incentive Design</w:t>
      </w:r>
    </w:p>
    <w:p>
      <w:pPr>
        <w:spacing w:after="140"/>
      </w:pPr>
      <w:r>
        <w:t xml:space="preserve">Emission schedules, governance token design, and incentive structures modeled for long-term protocol sustainability, explicitly stress-tested against short-term mercenary-capital extraction rather than optimized purely for launch-day TVL headlines.</w:t>
      </w:r>
    </w:p>
    <w:p>
      <w:pPr>
        <w:pStyle w:val="Heading2"/>
        <w:spacing w:after="130" w:before="320"/>
      </w:pPr>
      <w:r>
        <w:t xml:space="preserve">6. Capital-Efficiency Benchmarks We Build To</w:t>
      </w:r>
    </w:p>
    <w:p>
      <w:pPr>
        <w:pStyle w:val="ListParagraph"/>
        <w:numPr>
          <w:ilvl w:val="0"/>
          <w:numId w:val="2"/>
        </w:numPr>
        <w:spacing w:after="80"/>
      </w:pPr>
      <w:r>
        <w:rPr>
          <w:b/>
          <w:bCs/>
        </w:rPr>
        <w:t xml:space="preserve">Multi-scenario stress testing — </w:t>
      </w:r>
      <w:r>
        <w:t xml:space="preserve">every protocol simulated against historical crash and liquidity-run conditions before launch</w:t>
      </w:r>
    </w:p>
    <w:p>
      <w:pPr>
        <w:pStyle w:val="ListParagraph"/>
        <w:numPr>
          <w:ilvl w:val="0"/>
          <w:numId w:val="2"/>
        </w:numPr>
        <w:spacing w:after="80"/>
      </w:pPr>
      <w:r>
        <w:rPr>
          <w:b/>
          <w:bCs/>
        </w:rPr>
        <w:t xml:space="preserve">Isolated risk tiers — </w:t>
      </w:r>
      <w:r>
        <w:t xml:space="preserve">as standard practice separating volatile and stable collateral classes in lending design</w:t>
      </w:r>
    </w:p>
    <w:p>
      <w:pPr>
        <w:pStyle w:val="ListParagraph"/>
        <w:numPr>
          <w:ilvl w:val="0"/>
          <w:numId w:val="2"/>
        </w:numPr>
        <w:spacing w:after="80"/>
      </w:pPr>
      <w:r>
        <w:rPr>
          <w:b/>
          <w:bCs/>
        </w:rPr>
        <w:t xml:space="preserve">Dual audit + simulation gate — </w:t>
      </w:r>
      <w:r>
        <w:t xml:space="preserve">code security and economic soundness both independently validated before mainnet</w:t>
      </w:r>
    </w:p>
    <w:p>
      <w:pPr>
        <w:pStyle w:val="ListParagraph"/>
        <w:numPr>
          <w:ilvl w:val="0"/>
          <w:numId w:val="2"/>
        </w:numPr>
        <w:spacing w:after="80"/>
      </w:pPr>
      <w:r>
        <w:rPr>
          <w:b/>
          <w:bCs/>
        </w:rPr>
        <w:t xml:space="preserve">Launch-day liquidity plan — </w:t>
      </w:r>
      <w:r>
        <w:t xml:space="preserve">included in every engagement, not sold as a separate add-on after the fact</w:t>
      </w:r>
    </w:p>
    <w:p>
      <w:pPr>
        <w:pStyle w:val="Heading2"/>
        <w:spacing w:after="130" w:before="320"/>
      </w:pPr>
      <w:r>
        <w:t xml:space="preserve">7. Ecosystem / Chain Coverage</w:t>
      </w:r>
    </w:p>
    <w:p>
      <w:pPr>
        <w:pStyle w:val="ListParagraph"/>
        <w:numPr>
          <w:ilvl w:val="0"/>
          <w:numId w:val="2"/>
        </w:numPr>
        <w:spacing w:after="80"/>
      </w:pPr>
      <w:r>
        <w:rPr>
          <w:b/>
          <w:bCs/>
        </w:rPr>
        <w:t xml:space="preserve">Ethereum &amp; L2s — </w:t>
      </w:r>
      <w:r>
        <w:t xml:space="preserve">Primary deployment target for most DeFi protocols, with L2 deployment for lower transaction fees.</w:t>
      </w:r>
    </w:p>
    <w:p>
      <w:pPr>
        <w:pStyle w:val="ListParagraph"/>
        <w:numPr>
          <w:ilvl w:val="0"/>
          <w:numId w:val="2"/>
        </w:numPr>
        <w:spacing w:after="80"/>
      </w:pPr>
      <w:r>
        <w:rPr>
          <w:b/>
          <w:bCs/>
        </w:rPr>
        <w:t xml:space="preserve">Solana — </w:t>
      </w:r>
      <w:r>
        <w:t xml:space="preserve">High-throughput DeFi for order-book DEXs and high-frequency trading strategies.</w:t>
      </w:r>
    </w:p>
    <w:p>
      <w:pPr>
        <w:pStyle w:val="ListParagraph"/>
        <w:numPr>
          <w:ilvl w:val="0"/>
          <w:numId w:val="2"/>
        </w:numPr>
        <w:spacing w:after="80"/>
      </w:pPr>
      <w:r>
        <w:rPr>
          <w:b/>
          <w:bCs/>
        </w:rPr>
        <w:t xml:space="preserve">BNB Chain — </w:t>
      </w:r>
      <w:r>
        <w:t xml:space="preserve">Cost-efficient DeFi deployment for retail-focused protocols.</w:t>
      </w:r>
    </w:p>
    <w:p>
      <w:pPr>
        <w:pStyle w:val="ListParagraph"/>
        <w:numPr>
          <w:ilvl w:val="0"/>
          <w:numId w:val="2"/>
        </w:numPr>
        <w:spacing w:after="80"/>
      </w:pPr>
      <w:r>
        <w:rPr>
          <w:b/>
          <w:bCs/>
        </w:rPr>
        <w:t xml:space="preserve">Arbitrum &amp; Base — </w:t>
      </w:r>
      <w:r>
        <w:t xml:space="preserve">L2-native DeFi with deep existing liquidity ecosystems to integrate against.</w:t>
      </w:r>
    </w:p>
    <w:p>
      <w:pPr>
        <w:pStyle w:val="Heading2"/>
        <w:spacing w:after="130" w:before="320"/>
      </w:pPr>
      <w:r>
        <w:t xml:space="preserve">8. Technology Stack</w:t>
      </w:r>
    </w:p>
    <w:p>
      <w:pPr>
        <w:pStyle w:val="Heading3"/>
        <w:spacing w:after="80" w:before="200"/>
      </w:pPr>
      <w:r>
        <w:t xml:space="preserve">Languages</w:t>
      </w:r>
    </w:p>
    <w:p>
      <w:pPr>
        <w:spacing w:after="140"/>
      </w:pPr>
      <w:r>
        <w:t xml:space="preserve">Solidity, Rust</w:t>
      </w:r>
    </w:p>
    <w:p>
      <w:pPr>
        <w:pStyle w:val="Heading3"/>
        <w:spacing w:after="80" w:before="200"/>
      </w:pPr>
      <w:r>
        <w:t xml:space="preserve">Frameworks</w:t>
      </w:r>
    </w:p>
    <w:p>
      <w:pPr>
        <w:spacing w:after="140"/>
      </w:pPr>
      <w:r>
        <w:t xml:space="preserve">Foundry, Hardhat, Anchor</w:t>
      </w:r>
    </w:p>
    <w:p>
      <w:pPr>
        <w:pStyle w:val="Heading3"/>
        <w:spacing w:after="80" w:before="200"/>
      </w:pPr>
      <w:r>
        <w:t xml:space="preserve">Oracles</w:t>
      </w:r>
    </w:p>
    <w:p>
      <w:pPr>
        <w:spacing w:after="140"/>
      </w:pPr>
      <w:r>
        <w:t xml:space="preserve">Chainlink, Pyth, RedStone</w:t>
      </w:r>
    </w:p>
    <w:p>
      <w:pPr>
        <w:pStyle w:val="Heading3"/>
        <w:spacing w:after="80" w:before="200"/>
      </w:pPr>
      <w:r>
        <w:t xml:space="preserve">Security</w:t>
      </w:r>
    </w:p>
    <w:p>
      <w:pPr>
        <w:spacing w:after="140"/>
      </w:pPr>
      <w:r>
        <w:t xml:space="preserve">Slither, Mythril, Echidna, Certora</w:t>
      </w:r>
    </w:p>
    <w:p>
      <w:pPr>
        <w:pStyle w:val="Heading3"/>
        <w:spacing w:after="80" w:before="200"/>
      </w:pPr>
      <w:r>
        <w:t xml:space="preserve">Infrastructure</w:t>
      </w:r>
    </w:p>
    <w:p>
      <w:pPr>
        <w:spacing w:after="140"/>
      </w:pPr>
      <w:r>
        <w:t xml:space="preserve">The Graph, Tenderly, OpenZeppelin Defender</w:t>
      </w:r>
    </w:p>
    <w:p>
      <w:pPr>
        <w:pStyle w:val="Heading2"/>
        <w:spacing w:after="130" w:before="320"/>
      </w:pPr>
      <w:r>
        <w:t xml:space="preserve">9. Attack Vectors We Design Against</w:t>
      </w:r>
    </w:p>
    <w:p>
      <w:pPr>
        <w:pStyle w:val="Heading3"/>
        <w:spacing w:after="80" w:before="200"/>
      </w:pPr>
      <w:r>
        <w:t xml:space="preserve">Impermanent Loss Death Spirals</w:t>
      </w:r>
    </w:p>
    <w:p>
      <w:pPr>
        <w:spacing w:after="140"/>
      </w:pPr>
      <w:r>
        <w:t xml:space="preserve">AMM liquidity providers can be quietly drained by sustained one-directional price movement, causing LPs to withdraw en masse and worsening slippage further. We model IL exposure explicitly during pool design and recommend concentrated-liquidity or dynamic-fee structures where appropriate.</w:t>
      </w:r>
    </w:p>
    <w:p>
      <w:pPr>
        <w:pStyle w:val="Heading3"/>
        <w:spacing w:after="80" w:before="200"/>
      </w:pPr>
      <w:r>
        <w:t xml:space="preserve">Flash-Loan-Funded Oracle Manipulation</w:t>
      </w:r>
    </w:p>
    <w:p>
      <w:pPr>
        <w:spacing w:after="140"/>
      </w:pPr>
      <w:r>
        <w:t xml:space="preserve">A single-block flash loan can temporarily distort a spot price enough to trigger false liquidations or drain a lending pool. We default to time-weighted or multi-source oracle feeds specifically to remove this attack surface.</w:t>
      </w:r>
    </w:p>
    <w:p>
      <w:pPr>
        <w:pStyle w:val="Heading3"/>
        <w:spacing w:after="80" w:before="200"/>
      </w:pPr>
      <w:r>
        <w:t xml:space="preserve">Correlated Collateral Cascades</w:t>
      </w:r>
    </w:p>
    <w:p>
      <w:pPr>
        <w:spacing w:after="140"/>
      </w:pPr>
      <w:r>
        <w:t xml:space="preserve">Lending markets that treat correlated assets as independent collateral can suffer cascading liquidations when multiple assets crash together. We explicitly model asset correlation in risk-tier design rather than assuming independence.</w:t>
      </w:r>
    </w:p>
    <w:p>
      <w:pPr>
        <w:pStyle w:val="Heading3"/>
        <w:spacing w:after="80" w:before="200"/>
      </w:pPr>
      <w:r>
        <w:t xml:space="preserve">Mercenary Capital Flight</w:t>
      </w:r>
    </w:p>
    <w:p>
      <w:pPr>
        <w:spacing w:after="140"/>
      </w:pPr>
      <w:r>
        <w:t xml:space="preserve">Yield farming programs that pay unsustainable emissions attract capital that leaves the instant rewards drop, taking liquidity with it. We model emission decay and realistic capital retention before setting any reward schedule.</w:t>
      </w:r>
    </w:p>
    <w:p>
      <w:pPr>
        <w:pStyle w:val="Heading2"/>
        <w:spacing w:after="130" w:before="320"/>
      </w:pPr>
      <w:r>
        <w:t xml:space="preserve">10. Why Protocols Choose Quecko</w:t>
      </w:r>
    </w:p>
    <w:p>
      <w:pPr>
        <w:pStyle w:val="ListParagraph"/>
        <w:numPr>
          <w:ilvl w:val="0"/>
          <w:numId w:val="2"/>
        </w:numPr>
        <w:spacing w:after="80"/>
      </w:pPr>
      <w:r>
        <w:rPr>
          <w:b/>
          <w:bCs/>
        </w:rPr>
        <w:t xml:space="preserve">Economics + Security Together — </w:t>
      </w:r>
      <w:r>
        <w:t xml:space="preserve">We model tokenomics and audit code as one integrated process with shared context, not two disconnected workstreams run by teams who never talk to each other.</w:t>
      </w:r>
    </w:p>
    <w:p>
      <w:pPr>
        <w:pStyle w:val="ListParagraph"/>
        <w:numPr>
          <w:ilvl w:val="0"/>
          <w:numId w:val="2"/>
        </w:numPr>
        <w:spacing w:after="80"/>
      </w:pPr>
      <w:r>
        <w:rPr>
          <w:b/>
          <w:bCs/>
        </w:rPr>
        <w:t xml:space="preserve">Stress-Tested by Design — </w:t>
      </w:r>
      <w:r>
        <w:t xml:space="preserve">Every protocol is simulated against adversarial market conditions before mainnet, not just unit-tested for functional correctness under ideal conditions.</w:t>
      </w:r>
    </w:p>
    <w:p>
      <w:pPr>
        <w:pStyle w:val="ListParagraph"/>
        <w:numPr>
          <w:ilvl w:val="0"/>
          <w:numId w:val="2"/>
        </w:numPr>
        <w:spacing w:after="80"/>
      </w:pPr>
      <w:r>
        <w:rPr>
          <w:b/>
          <w:bCs/>
        </w:rPr>
        <w:t xml:space="preserve">Composability-Aware — </w:t>
      </w:r>
      <w:r>
        <w:t xml:space="preserve">Contracts are built to interoperate safely with the broader DeFi ecosystem as genuine money-legos, not as isolated silos that break the moment another protocol calls into them.</w:t>
      </w:r>
    </w:p>
    <w:p>
      <w:pPr>
        <w:pStyle w:val="ListParagraph"/>
        <w:numPr>
          <w:ilvl w:val="0"/>
          <w:numId w:val="2"/>
        </w:numPr>
        <w:spacing w:after="80"/>
      </w:pPr>
      <w:r>
        <w:rPr>
          <w:b/>
          <w:bCs/>
        </w:rPr>
        <w:t xml:space="preserve">Full Lifecycle Support — </w:t>
      </w:r>
      <w:r>
        <w:t xml:space="preserve">From initial design through audit, launch-day liquidity bootstrapping, and post-launch monitoring — one accountable team across the entire lifecycle.</w:t>
      </w:r>
    </w:p>
    <w:p>
      <w:pPr>
        <w:pStyle w:val="Heading2"/>
        <w:spacing w:after="130" w:before="320"/>
      </w:pPr>
      <w:r>
        <w:t xml:space="preserve">11. Engagement Models</w:t>
      </w:r>
    </w:p>
    <w:p>
      <w:pPr>
        <w:pStyle w:val="Heading3"/>
        <w:spacing w:after="80" w:before="200"/>
      </w:pPr>
      <w:r>
        <w:t xml:space="preserve">Full Protocol Build  (10–20 weeks typical)</w:t>
      </w:r>
    </w:p>
    <w:p>
      <w:pPr>
        <w:spacing w:after="140"/>
      </w:pPr>
      <w:r>
        <w:t xml:space="preserve">End-to-end DeFi protocol development from tokenomics design and mechanism modeling through audited mainnet launch.</w:t>
      </w:r>
    </w:p>
    <w:p>
      <w:pPr>
        <w:pStyle w:val="Heading3"/>
        <w:spacing w:after="80" w:before="200"/>
      </w:pPr>
      <w:r>
        <w:t xml:space="preserve">Audit &amp; Simulation Only  (3–6 weeks)</w:t>
      </w:r>
    </w:p>
    <w:p>
      <w:pPr>
        <w:spacing w:after="140"/>
      </w:pPr>
      <w:r>
        <w:t xml:space="preserve">Independent security audit combined with economic stress-testing of a protocol your team has already built.</w:t>
      </w:r>
    </w:p>
    <w:p>
      <w:pPr>
        <w:pStyle w:val="Heading3"/>
        <w:spacing w:after="80" w:before="200"/>
      </w:pPr>
      <w:r>
        <w:t xml:space="preserve">Dedicated DeFi Pod  (Ongoing)</w:t>
      </w:r>
    </w:p>
    <w:p>
      <w:pPr>
        <w:spacing w:after="140"/>
      </w:pPr>
      <w:r>
        <w:t xml:space="preserve">Embedded protocol engineers and tokenomics specialists working continuously inside your existing team.</w:t>
      </w:r>
    </w:p>
    <w:p>
      <w:pPr>
        <w:pStyle w:val="Heading2"/>
        <w:spacing w:after="130" w:before="320"/>
      </w:pPr>
      <w:r>
        <w:t xml:space="preserve">12. Proof in Production</w:t>
      </w:r>
    </w:p>
    <w:p>
      <w:pPr>
        <w:spacing w:after="140"/>
      </w:pPr>
      <w:r>
        <w:t xml:space="preserve">Pull the existing 'decentralized-options-market' portfolio piece as the primary example for this page — it's a direct DeFi derivatives project and the strongest existing proof point for this specific service.</w:t>
      </w:r>
    </w:p>
    <w:p>
      <w:pPr>
        <w:pStyle w:val="Heading2"/>
        <w:spacing w:after="130" w:before="320"/>
      </w:pPr>
      <w:r>
        <w:t xml:space="preserve">13. Testimonial</w:t>
      </w:r>
    </w:p>
    <w:p>
      <w:pPr>
        <w:spacing w:after="140"/>
      </w:pPr>
      <w:r>
        <w:t xml:space="preserve">Reuse existing testimonial component (Tom Blears / Bitcast quote, or another matching testimonial from the library) — no new content needed.</w:t>
      </w:r>
    </w:p>
    <w:p>
      <w:pPr>
        <w:pStyle w:val="Heading2"/>
        <w:spacing w:after="130" w:before="320"/>
      </w:pPr>
      <w:r>
        <w:t xml:space="preserve">14. FAQ</w:t>
      </w:r>
    </w:p>
    <w:p>
      <w:pPr>
        <w:pStyle w:val="Heading3"/>
        <w:spacing w:after="80" w:before="200"/>
      </w:pPr>
      <w:r>
        <w:t xml:space="preserve">Can you help design tokenomics, not just write the contracts?</w:t>
      </w:r>
    </w:p>
    <w:p>
      <w:pPr>
        <w:spacing w:after="140"/>
      </w:pPr>
      <w:r>
        <w:t xml:space="preserve">Yes — tokenomics modeling is a core, non-optional part of every DeFi engagement. We treat the incentive structure and the smart contract as one integrated design problem, since a technically perfect contract enforcing a broken economic model still produces a protocol that fails, just more slowly and less visibly than an exploit would.</w:t>
      </w:r>
    </w:p>
    <w:p>
      <w:pPr>
        <w:pStyle w:val="Heading3"/>
        <w:spacing w:after="80" w:before="200"/>
      </w:pPr>
      <w:r>
        <w:t xml:space="preserve">How do you prevent impermanent loss or liquidation cascades from breaking the protocol?</w:t>
      </w:r>
    </w:p>
    <w:p>
      <w:pPr>
        <w:spacing w:after="140"/>
      </w:pPr>
      <w:r>
        <w:t xml:space="preserve">Through simulation-based stress testing against both historical crisis data (like past flash crashes) and adversarial scenarios we construct specifically to probe weaknesses in the proposed mechanism. This happens before final contract code is written, so design flaws get caught on a spreadsheet rather than in a live incident.</w:t>
      </w:r>
    </w:p>
    <w:p>
      <w:pPr>
        <w:pStyle w:val="Heading3"/>
        <w:spacing w:after="80" w:before="200"/>
      </w:pPr>
      <w:r>
        <w:t xml:space="preserve">Do you help bootstrap initial liquidity?</w:t>
      </w:r>
    </w:p>
    <w:p>
      <w:pPr>
        <w:spacing w:after="140"/>
      </w:pPr>
      <w:r>
        <w:t xml:space="preserve">Yes, we design and support liquidity mining programs, protocol-owned liquidity strategies, or partnership-based seeding arrangements as part of the launch plan itself, not as a separate engagement discovered as a gap after the protocol is already live with an empty pool.</w:t>
      </w:r>
    </w:p>
    <w:p>
      <w:pPr>
        <w:pStyle w:val="Heading3"/>
        <w:spacing w:after="80" w:before="200"/>
      </w:pPr>
      <w:r>
        <w:t xml:space="preserve">Can this integrate with existing DeFi protocols we don't control?</w:t>
      </w:r>
    </w:p>
    <w:p>
      <w:pPr>
        <w:spacing w:after="140"/>
      </w:pPr>
      <w:r>
        <w:t xml:space="preserve">Yes — we design for safe composability with external protocols as a deliberate architectural goal, including specific mitigations for flash-loan-enabled attacks and oracle-dependency risk that arise when your contract can be called by, or calls into, code you don't control.</w:t>
      </w:r>
    </w:p>
    <w:p>
      <w:pPr>
        <w:pStyle w:val="Heading3"/>
        <w:spacing w:after="80" w:before="200"/>
      </w:pPr>
      <w:r>
        <w:t xml:space="preserve">What happens if market conditions change dramatically after launch?</w:t>
      </w:r>
    </w:p>
    <w:p>
      <w:pPr>
        <w:spacing w:after="140"/>
      </w:pPr>
      <w:r>
        <w:t xml:space="preserve">Well-designed protocols include governance mechanisms or admin-controlled parameters (within appropriate decentralization constraints) to adjust interest rate curves, collateral factors, or fee structures as conditions evolve. We build this adaptability in from the start rather than hard-coding assumptions that only hold under the market conditions present at launch.</w:t>
      </w:r>
    </w:p>
    <w:p>
      <w:pPr>
        <w:pStyle w:val="Heading3"/>
        <w:spacing w:after="80" w:before="200"/>
      </w:pPr>
      <w:r>
        <w:t xml:space="preserve">How is a DeFi audit different from a general smart contract audit?</w:t>
      </w:r>
    </w:p>
    <w:p>
      <w:pPr>
        <w:spacing w:after="140"/>
      </w:pPr>
      <w:r>
        <w:t xml:space="preserve">A DeFi-specific audit goes beyond code-level vulnerability scanning to include economic and game-theoretic review — testing whether the incentive structure itself can be gamed, whether liquidation thresholds hold up under realistic volatility, and whether the protocol remains solvent under correlated-asset stress, none of which a purely code-focused audit would catch.</w:t>
      </w:r>
    </w:p>
    <w:p>
      <w:pPr>
        <w:pStyle w:val="Heading2"/>
        <w:spacing w:after="130" w:before="320"/>
      </w:pPr>
      <w:r>
        <w:t xml:space="preserve">15. Closing CTA</w:t>
      </w:r>
    </w:p>
    <w:p>
      <w:pPr>
        <w:spacing w:after="140"/>
      </w:pPr>
      <w:r>
        <w:t xml:space="preserve">Ready to build a DeFi protocol engineered to survive its first real market stress event, not just its audit?</w:t>
      </w:r>
    </w:p>
    <w:p>
      <w:pPr>
        <w:spacing w:after="160"/>
      </w:pPr>
      <w:r>
        <w:rPr>
          <w:i/>
          <w:iCs/>
        </w:rPr>
        <w:t xml:space="preserve">CTA Buttons: "Talk to a DeFi Engineer"  /  "View Our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2026-08-03T14:07:07.058Z</dcterms:created>
  <dcterms:modified xsi:type="dcterms:W3CDTF">2026-08-03T14:07:07.058Z</dcterms:modified>
</cp:coreProperties>
</file>

<file path=docProps/custom.xml><?xml version="1.0" encoding="utf-8"?>
<Properties xmlns="http://schemas.openxmlformats.org/officeDocument/2006/custom-properties" xmlns:vt="http://schemas.openxmlformats.org/officeDocument/2006/docPropsVTypes"/>
</file>