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Custom Layer 1 &amp; Layer 2 Blockchain Development</w:t>
      </w:r>
    </w:p>
    <w:p>
      <w:pPr>
        <w:spacing w:after="160"/>
      </w:pPr>
      <w:r>
        <w:rPr>
          <w:i/>
          <w:iCs/>
        </w:rPr>
        <w:t xml:space="preserve">Suggested URL: quecko.com/services/web3/layer-1-layer-2-development</w:t>
      </w:r>
    </w:p>
    <w:p>
      <w:pPr>
        <w:spacing w:after="100"/>
      </w:pPr>
      <w:r>
        <w:rPr>
          <w:b/>
          <w:bCs/>
        </w:rPr>
        <w:t xml:space="preserve">Meta Title: </w:t>
      </w:r>
      <w:r>
        <w:t xml:space="preserve">Layer 1 &amp; Layer 2 Blockchain Development Services | Quecko</w:t>
      </w:r>
    </w:p>
    <w:p>
      <w:pPr>
        <w:spacing w:after="100"/>
      </w:pPr>
      <w:r>
        <w:rPr>
          <w:b/>
          <w:bCs/>
        </w:rPr>
        <w:t xml:space="preserve">Meta Description: </w:t>
      </w:r>
      <w:r>
        <w:t xml:space="preserve">Quecko engineers sovereign Layer 1 chains and high-throughput Layer 2 networks — consensus design, validator infrastructure, and audited bridges, from whitepaper to mainnet.</w:t>
      </w:r>
    </w:p>
    <w:p>
      <w:pPr>
        <w:spacing w:after="100"/>
      </w:pPr>
      <w:r>
        <w:rPr>
          <w:b/>
          <w:bCs/>
        </w:rPr>
        <w:t xml:space="preserve">One-Line Positioning: </w:t>
      </w:r>
      <w:r>
        <w:t xml:space="preserve">Protocol engineering for teams who need a chain, not a fork with a new logo.</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 slowly rotating 3D wireframe network of connected nodes, pulsing to simulate block propagation). Headline (2 rotating/A-B testable variants provided below), one-line subhead, dual CTA buttons, and the standard 4-stat ticker row underneath.</w:t>
      </w:r>
    </w:p>
    <w:p>
      <w:pPr>
        <w:pStyle w:val="Heading3"/>
        <w:spacing w:after="80" w:before="200"/>
      </w:pPr>
      <w:r>
        <w:t xml:space="preserve">2. The Multi-Chain Reality</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Where Most Chains Die Before Mainnet</w:t>
      </w:r>
    </w:p>
    <w:p>
      <w:pPr>
        <w:spacing w:after="140"/>
      </w:pPr>
      <w:r>
        <w:t xml:space="preserve">Centered narrative paragraph, followed by a two-column "Old Way vs. Quecko Way" comparison list — undefined</w:t>
      </w:r>
    </w:p>
    <w:p>
      <w:pPr>
        <w:pStyle w:val="Heading3"/>
        <w:spacing w:after="80" w:before="200"/>
      </w:pPr>
      <w:r>
        <w:t xml:space="preserve">4. From Whitepaper to Genesis Block</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Engineering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What Breaks When Chains Scale</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Protocol Teams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Chains Built to Last Past Testnet.</w:t>
      </w:r>
    </w:p>
    <w:p>
      <w:pPr>
        <w:pStyle w:val="Heading3"/>
        <w:spacing w:after="80" w:before="200"/>
      </w:pPr>
      <w:r>
        <w:t xml:space="preserve">Headline — Option B</w:t>
      </w:r>
    </w:p>
    <w:p>
      <w:pPr>
        <w:spacing w:after="140"/>
      </w:pPr>
      <w:r>
        <w:t xml:space="preserve">From Whitepaper to Mainnet — Without the Guesswork.</w:t>
      </w:r>
    </w:p>
    <w:p>
      <w:pPr>
        <w:pStyle w:val="Heading3"/>
        <w:spacing w:after="80" w:before="200"/>
      </w:pPr>
      <w:r>
        <w:t xml:space="preserve">Subheadline</w:t>
      </w:r>
    </w:p>
    <w:p>
      <w:pPr>
        <w:spacing w:after="140"/>
      </w:pPr>
      <w:r>
        <w:t xml:space="preserve">Quecko engineers production-grade Layer 1 and Layer 2 networks — consensus mechanisms, validator infrastructure, and audited bridge architecture — for teams who need infrastructure that survives real transaction volume, not a testnet demo.</w:t>
      </w:r>
    </w:p>
    <w:p>
      <w:pPr>
        <w:spacing w:after="160"/>
      </w:pPr>
      <w:r>
        <w:rPr>
          <w:i/>
          <w:iCs/>
        </w:rPr>
        <w:t xml:space="preserve">CTA Buttons: "Talk to a Protocol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The Multi-Chain Reality</w:t>
      </w:r>
    </w:p>
    <w:p>
      <w:pPr>
        <w:spacing w:after="140"/>
      </w:pPr>
      <w:r>
        <w:t xml:space="preserve">There is no longer a single dominant chain architecture — Ethereum L2s, Solana's monolithic throughput model, Cosmos app-chains, and Polkadot parachains are all competing approaches, each with genuinely different trade-offs in finality, decentralization, and cost. Teams launching new infrastructure today aren't choosing 'blockchain or not' — they're choosing which architecture matches their actual transaction pattern, validator economics, and target user base, and that choice has become a specialist discipline in its own right rather than a checkbox on a roadmap.</w:t>
      </w:r>
    </w:p>
    <w:p>
      <w:pPr>
        <w:pStyle w:val="Heading2"/>
        <w:spacing w:after="130" w:before="320"/>
      </w:pPr>
      <w:r>
        <w:t xml:space="preserve">3. Where Most Chains Die Before Mainnet</w:t>
      </w:r>
    </w:p>
    <w:p>
      <w:pPr>
        <w:spacing w:after="140"/>
      </w:pPr>
      <w:r>
        <w:t xml:space="preserve">Launching a Layer 1 or Layer 2 network demands expertise across consensus algorithms, cryptographic primitives, validator economics, and network security — disciplines that are nearly impossible to hire for in-house at the depth required. Most teams either fork an existing client and hope the trade-offs happen to fit, or hire generalist blockchain developers who can write a smart contract but have never designed a consensus mechanism. The result shows up months later: testnets that never reach mainnet because throughput collapses under real load, bridges with exploitable logic that get drained within weeks of launch, and validator sets that centralize faster than the whitepaper promised.</w:t>
      </w:r>
    </w:p>
    <w:p>
      <w:pPr>
        <w:pStyle w:val="Heading3"/>
        <w:spacing w:after="80" w:before="200"/>
      </w:pPr>
      <w:r>
        <w:t xml:space="preserve">The Old Way</w:t>
      </w:r>
    </w:p>
    <w:p>
      <w:pPr>
        <w:pStyle w:val="ListParagraph"/>
        <w:numPr>
          <w:ilvl w:val="0"/>
          <w:numId w:val="2"/>
        </w:numPr>
        <w:spacing w:after="70"/>
      </w:pPr>
      <w:r>
        <w:t xml:space="preserve">Fork an existing client and hope the defaults fit your use case</w:t>
      </w:r>
    </w:p>
    <w:p>
      <w:pPr>
        <w:pStyle w:val="ListParagraph"/>
        <w:numPr>
          <w:ilvl w:val="0"/>
          <w:numId w:val="2"/>
        </w:numPr>
        <w:spacing w:after="70"/>
      </w:pPr>
      <w:r>
        <w:t xml:space="preserve">Discover consensus trade-offs only after testnet performance problems appear</w:t>
      </w:r>
    </w:p>
    <w:p>
      <w:pPr>
        <w:pStyle w:val="ListParagraph"/>
        <w:numPr>
          <w:ilvl w:val="0"/>
          <w:numId w:val="2"/>
        </w:numPr>
        <w:spacing w:after="70"/>
      </w:pPr>
      <w:r>
        <w:t xml:space="preserve">Bolt on a bridge late, audited under deadline pressure</w:t>
      </w:r>
    </w:p>
    <w:p>
      <w:pPr>
        <w:pStyle w:val="ListParagraph"/>
        <w:numPr>
          <w:ilvl w:val="0"/>
          <w:numId w:val="2"/>
        </w:numPr>
        <w:spacing w:after="70"/>
      </w:pPr>
      <w:r>
        <w:t xml:space="preserve">Launch with a handful of validators and call it 'progressive decentralization'</w:t>
      </w:r>
    </w:p>
    <w:p>
      <w:pPr>
        <w:pStyle w:val="Heading3"/>
        <w:spacing w:after="80" w:before="200"/>
      </w:pPr>
      <w:r>
        <w:t xml:space="preserve">The Quecko Way</w:t>
      </w:r>
    </w:p>
    <w:p>
      <w:pPr>
        <w:pStyle w:val="ListParagraph"/>
        <w:numPr>
          <w:ilvl w:val="0"/>
          <w:numId w:val="2"/>
        </w:numPr>
        <w:spacing w:after="70"/>
      </w:pPr>
      <w:r>
        <w:t xml:space="preserve">Consensus mechanism selected and modeled against your actual throughput and finality requirements before any code is written</w:t>
      </w:r>
    </w:p>
    <w:p>
      <w:pPr>
        <w:pStyle w:val="ListParagraph"/>
        <w:numPr>
          <w:ilvl w:val="0"/>
          <w:numId w:val="2"/>
        </w:numPr>
        <w:spacing w:after="70"/>
      </w:pPr>
      <w:r>
        <w:t xml:space="preserve">Validator economics and slashing conditions simulated under adversarial scenarios pre-launch</w:t>
      </w:r>
    </w:p>
    <w:p>
      <w:pPr>
        <w:pStyle w:val="ListParagraph"/>
        <w:numPr>
          <w:ilvl w:val="0"/>
          <w:numId w:val="2"/>
        </w:numPr>
        <w:spacing w:after="70"/>
      </w:pPr>
      <w:r>
        <w:t xml:space="preserve">Bridge architecture designed and audited as a first-class component, not a bolt-on</w:t>
      </w:r>
    </w:p>
    <w:p>
      <w:pPr>
        <w:pStyle w:val="ListParagraph"/>
        <w:numPr>
          <w:ilvl w:val="0"/>
          <w:numId w:val="2"/>
        </w:numPr>
        <w:spacing w:after="70"/>
      </w:pPr>
      <w:r>
        <w:t xml:space="preserve">Validator onboarding plan built into the mainnet launch sequence from day one</w:t>
      </w:r>
    </w:p>
    <w:p>
      <w:pPr>
        <w:pStyle w:val="Heading2"/>
        <w:spacing w:after="130" w:before="320"/>
      </w:pPr>
      <w:r>
        <w:t xml:space="preserve">4. From Whitepaper to Genesis Block</w:t>
      </w:r>
    </w:p>
    <w:p>
      <w:pPr>
        <w:spacing w:after="60" w:before="160"/>
      </w:pPr>
      <w:r>
        <w:rPr>
          <w:b/>
          <w:bCs/>
          <w:sz w:val="24"/>
          <w:szCs w:val="24"/>
        </w:rPr>
        <w:t xml:space="preserve">1. Protocol Architecture &amp; Consensus Design</w:t>
      </w:r>
    </w:p>
    <w:p>
      <w:pPr>
        <w:spacing w:after="140"/>
      </w:pPr>
      <w:r>
        <w:t xml:space="preserve">We assess your throughput, finality, and decentralization requirements to select or design the right consensus mechanism, then define the chain's economic model, governance parameters, and validator incentive structure in detail before development starts.</w:t>
      </w:r>
    </w:p>
    <w:p>
      <w:pPr>
        <w:spacing w:after="60" w:before="160"/>
      </w:pPr>
      <w:r>
        <w:rPr>
          <w:b/>
          <w:bCs/>
          <w:sz w:val="24"/>
          <w:szCs w:val="24"/>
        </w:rPr>
        <w:t xml:space="preserve">2. Core Development &amp; Testnet</w:t>
      </w:r>
    </w:p>
    <w:p>
      <w:pPr>
        <w:spacing w:after="140"/>
      </w:pPr>
      <w:r>
        <w:t xml:space="preserve">Our engineers build the node software, transaction processing layer, and networking stack, then deploy a private testnet for internal stress testing, validator onboarding rehearsal, and performance benchmarking against your target throughput.</w:t>
      </w:r>
    </w:p>
    <w:p>
      <w:pPr>
        <w:spacing w:after="60" w:before="160"/>
      </w:pPr>
      <w:r>
        <w:rPr>
          <w:b/>
          <w:bCs/>
          <w:sz w:val="24"/>
          <w:szCs w:val="24"/>
        </w:rPr>
        <w:t xml:space="preserve">3. Security Audit &amp; Bridge Engineering</w:t>
      </w:r>
    </w:p>
    <w:p>
      <w:pPr>
        <w:spacing w:after="140"/>
      </w:pPr>
      <w:r>
        <w:t xml:space="preserve">Rigorous code audits, formal verification of consensus logic, and adversarial penetration testing. If cross-chain connectivity is needed, we build and independently audit bridge contracts and relay infrastructure as a dedicated workstream.</w:t>
      </w:r>
    </w:p>
    <w:p>
      <w:pPr>
        <w:spacing w:after="60" w:before="160"/>
      </w:pPr>
      <w:r>
        <w:rPr>
          <w:b/>
          <w:bCs/>
          <w:sz w:val="24"/>
          <w:szCs w:val="24"/>
        </w:rPr>
        <w:t xml:space="preserve">4. Public Testnet &amp; Ecosystem Priming</w:t>
      </w:r>
    </w:p>
    <w:p>
      <w:pPr>
        <w:spacing w:after="140"/>
      </w:pPr>
      <w:r>
        <w:t xml:space="preserve">A public testnet phase with external validator participation, bug bounty coverage, and developer tooling release — so builders and validators are onboarded before mainnet, not scrambling afterward.</w:t>
      </w:r>
    </w:p>
    <w:p>
      <w:pPr>
        <w:spacing w:after="60" w:before="160"/>
      </w:pPr>
      <w:r>
        <w:rPr>
          <w:b/>
          <w:bCs/>
          <w:sz w:val="24"/>
          <w:szCs w:val="24"/>
        </w:rPr>
        <w:t xml:space="preserve">5. Mainnet Launch &amp; Ecosystem Support</w:t>
      </w:r>
    </w:p>
    <w:p>
      <w:pPr>
        <w:spacing w:after="140"/>
      </w:pPr>
      <w:r>
        <w:t xml:space="preserve">Coordinated mainnet deployment with validator onboarding, block explorer setup, wallet integrations, and developer documentation, followed by post-launch monitoring, incident response readiness, and scaling support.</w:t>
      </w:r>
    </w:p>
    <w:p>
      <w:pPr>
        <w:pStyle w:val="Heading2"/>
        <w:spacing w:after="130" w:before="320"/>
      </w:pPr>
      <w:r>
        <w:t xml:space="preserve">5. Capabilities</w:t>
      </w:r>
    </w:p>
    <w:p>
      <w:pPr>
        <w:pStyle w:val="Heading3"/>
        <w:spacing w:after="80" w:before="200"/>
      </w:pPr>
      <w:r>
        <w:t xml:space="preserve">Custom Layer 1 Chain Development</w:t>
      </w:r>
    </w:p>
    <w:p>
      <w:pPr>
        <w:spacing w:after="140"/>
      </w:pPr>
      <w:r>
        <w:t xml:space="preserve">Full-stack sovereign blockchain development — consensus mechanism design across PoS, PoA, and BFT variants, node architecture, genesis configuration, and validator tooling. We build chains purpose-fit for your specific transaction pattern and governance model, not a fork with a logo swap and a renamed token.</w:t>
      </w:r>
    </w:p>
    <w:p>
      <w:pPr>
        <w:pStyle w:val="Heading3"/>
        <w:spacing w:after="80" w:before="200"/>
      </w:pPr>
      <w:r>
        <w:t xml:space="preserve">Layer 2 Rollup Engineering</w:t>
      </w:r>
    </w:p>
    <w:p>
      <w:pPr>
        <w:spacing w:after="140"/>
      </w:pPr>
      <w:r>
        <w:t xml:space="preserve">Design and deployment of optimistic and zk-rollup solutions built on top of Ethereum, Polygon, or custom L1s, with careful attention to L1 settlement costs, sequencer decentralization roadmap, and withdrawal security — the details that determine whether an L2 actually inherits its parent chain's security guarantees.</w:t>
      </w:r>
    </w:p>
    <w:p>
      <w:pPr>
        <w:pStyle w:val="Heading3"/>
        <w:spacing w:after="80" w:before="200"/>
      </w:pPr>
      <w:r>
        <w:t xml:space="preserve">Cross-Chain Bridge Development</w:t>
      </w:r>
    </w:p>
    <w:p>
      <w:pPr>
        <w:spacing w:after="140"/>
      </w:pPr>
      <w:r>
        <w:t xml:space="preserve">Secure bridge infrastructure connecting your chain to major ecosystems, architected with relay mechanisms, validator sets, and liquidity routing secured by multi-signature and fraud-proof systems. Bridges remain the single largest attack surface in multi-chain crypto — we treat them accordingly.</w:t>
      </w:r>
    </w:p>
    <w:p>
      <w:pPr>
        <w:pStyle w:val="Heading3"/>
        <w:spacing w:after="80" w:before="200"/>
      </w:pPr>
      <w:r>
        <w:t xml:space="preserve">Consensus Mechanism Design</w:t>
      </w:r>
    </w:p>
    <w:p>
      <w:pPr>
        <w:spacing w:after="140"/>
      </w:pPr>
      <w:r>
        <w:t xml:space="preserve">Custom consensus protocol engineering from Proof-of-Stake and Delegated PoS to novel hybrid mechanisms, with full modeling of validator incentives, slashing conditions, and finality guarantees under both normal operation and network partition scenarios.</w:t>
      </w:r>
    </w:p>
    <w:p>
      <w:pPr>
        <w:pStyle w:val="Heading3"/>
        <w:spacing w:after="80" w:before="200"/>
      </w:pPr>
      <w:r>
        <w:t xml:space="preserve">Validator &amp; Node Infrastructure</w:t>
      </w:r>
    </w:p>
    <w:p>
      <w:pPr>
        <w:spacing w:after="140"/>
      </w:pPr>
      <w:r>
        <w:t xml:space="preserve">Full validator node deployment, monitoring dashboards, and staking infrastructure, with high-availability clusters, automated failover, and performance alerting built to keep validators online and slashing-free.</w:t>
      </w:r>
    </w:p>
    <w:p>
      <w:pPr>
        <w:pStyle w:val="Heading3"/>
        <w:spacing w:after="80" w:before="200"/>
      </w:pPr>
      <w:r>
        <w:t xml:space="preserve">Blockchain SDK &amp; Developer Tooling</w:t>
      </w:r>
    </w:p>
    <w:p>
      <w:pPr>
        <w:spacing w:after="140"/>
      </w:pPr>
      <w:r>
        <w:t xml:space="preserve">Custom SDKs, CLIs, and developer documentation so your ecosystem can onboard builders from day one — a chain without developer tooling is a chain nobody builds on, regardless of how good the consensus mechanism is.</w:t>
      </w:r>
    </w:p>
    <w:p>
      <w:pPr>
        <w:pStyle w:val="Heading2"/>
        <w:spacing w:after="130" w:before="320"/>
      </w:pPr>
      <w:r>
        <w:t xml:space="preserve">6. Engineering Benchmarks We Build To</w:t>
      </w:r>
    </w:p>
    <w:p>
      <w:pPr>
        <w:pStyle w:val="ListParagraph"/>
        <w:numPr>
          <w:ilvl w:val="0"/>
          <w:numId w:val="2"/>
        </w:numPr>
        <w:spacing w:after="80"/>
      </w:pPr>
      <w:r>
        <w:rPr>
          <w:b/>
          <w:bCs/>
        </w:rPr>
        <w:t xml:space="preserve">Sub-2s target finality — </w:t>
      </w:r>
      <w:r>
        <w:t xml:space="preserve">for BFT-style consensus deployments, tuned to your validator set size</w:t>
      </w:r>
    </w:p>
    <w:p>
      <w:pPr>
        <w:pStyle w:val="ListParagraph"/>
        <w:numPr>
          <w:ilvl w:val="0"/>
          <w:numId w:val="2"/>
        </w:numPr>
        <w:spacing w:after="80"/>
      </w:pPr>
      <w:r>
        <w:rPr>
          <w:b/>
          <w:bCs/>
        </w:rPr>
        <w:t xml:space="preserve">99.9% uptime SLA — </w:t>
      </w:r>
      <w:r>
        <w:t xml:space="preserve">on validator infrastructure we operate or advise on post-launch</w:t>
      </w:r>
    </w:p>
    <w:p>
      <w:pPr>
        <w:pStyle w:val="ListParagraph"/>
        <w:numPr>
          <w:ilvl w:val="0"/>
          <w:numId w:val="2"/>
        </w:numPr>
        <w:spacing w:after="80"/>
      </w:pPr>
      <w:r>
        <w:rPr>
          <w:b/>
          <w:bCs/>
        </w:rPr>
        <w:t xml:space="preserve">Full audit before mainnet — </w:t>
      </w:r>
      <w:r>
        <w:t xml:space="preserve">every chain and bridge component independently reviewed prior to launch — no exceptions</w:t>
      </w:r>
    </w:p>
    <w:p>
      <w:pPr>
        <w:pStyle w:val="ListParagraph"/>
        <w:numPr>
          <w:ilvl w:val="0"/>
          <w:numId w:val="2"/>
        </w:numPr>
        <w:spacing w:after="80"/>
      </w:pPr>
      <w:r>
        <w:rPr>
          <w:b/>
          <w:bCs/>
        </w:rPr>
        <w:t xml:space="preserve">4–12 month delivery range — </w:t>
      </w:r>
      <w:r>
        <w:t xml:space="preserve">depending on consensus complexity and ecosystem tooling scope</w:t>
      </w:r>
    </w:p>
    <w:p>
      <w:pPr>
        <w:pStyle w:val="Heading2"/>
        <w:spacing w:after="130" w:before="320"/>
      </w:pPr>
      <w:r>
        <w:t xml:space="preserve">7. Ecosystem / Chain Coverage</w:t>
      </w:r>
    </w:p>
    <w:p>
      <w:pPr>
        <w:pStyle w:val="ListParagraph"/>
        <w:numPr>
          <w:ilvl w:val="0"/>
          <w:numId w:val="2"/>
        </w:numPr>
        <w:spacing w:after="80"/>
      </w:pPr>
      <w:r>
        <w:rPr>
          <w:b/>
          <w:bCs/>
        </w:rPr>
        <w:t xml:space="preserve">Ethereum — </w:t>
      </w:r>
      <w:r>
        <w:t xml:space="preserve">Solidity/Vyper engineering, EVM-compatible dApps, gas optimization, ERC-20/721/1155 standards.</w:t>
      </w:r>
    </w:p>
    <w:p>
      <w:pPr>
        <w:pStyle w:val="ListParagraph"/>
        <w:numPr>
          <w:ilvl w:val="0"/>
          <w:numId w:val="2"/>
        </w:numPr>
        <w:spacing w:after="80"/>
      </w:pPr>
      <w:r>
        <w:rPr>
          <w:b/>
          <w:bCs/>
        </w:rPr>
        <w:t xml:space="preserve">Solana — </w:t>
      </w:r>
      <w:r>
        <w:t xml:space="preserve">Rust-based program engineering, high-frequency DeFi protocols, Anchor framework audit-readiness.</w:t>
      </w:r>
    </w:p>
    <w:p>
      <w:pPr>
        <w:pStyle w:val="ListParagraph"/>
        <w:numPr>
          <w:ilvl w:val="0"/>
          <w:numId w:val="2"/>
        </w:numPr>
        <w:spacing w:after="80"/>
      </w:pPr>
      <w:r>
        <w:rPr>
          <w:b/>
          <w:bCs/>
        </w:rPr>
        <w:t xml:space="preserve">BNB Smart Chain — </w:t>
      </w:r>
      <w:r>
        <w:t xml:space="preserve">High-performance BEP-20 tokens, BSC-optimized contracts, DeFi ecosystem hooks.</w:t>
      </w:r>
    </w:p>
    <w:p>
      <w:pPr>
        <w:pStyle w:val="ListParagraph"/>
        <w:numPr>
          <w:ilvl w:val="0"/>
          <w:numId w:val="2"/>
        </w:numPr>
        <w:spacing w:after="80"/>
      </w:pPr>
      <w:r>
        <w:rPr>
          <w:b/>
          <w:bCs/>
        </w:rPr>
        <w:t xml:space="preserve">Polkadot — </w:t>
      </w:r>
      <w:r>
        <w:t xml:space="preserve">Substrate framework engineering, custom parachain development, cross-chain messaging (XCM).</w:t>
      </w:r>
    </w:p>
    <w:p>
      <w:pPr>
        <w:pStyle w:val="ListParagraph"/>
        <w:numPr>
          <w:ilvl w:val="0"/>
          <w:numId w:val="2"/>
        </w:numPr>
        <w:spacing w:after="80"/>
      </w:pPr>
      <w:r>
        <w:rPr>
          <w:b/>
          <w:bCs/>
        </w:rPr>
        <w:t xml:space="preserve">Cardano — </w:t>
      </w:r>
      <w:r>
        <w:t xml:space="preserve">Plutus &amp; Haskell engineering, UTXO architecture security, sustainable tokenomics design.</w:t>
      </w:r>
    </w:p>
    <w:p>
      <w:pPr>
        <w:pStyle w:val="ListParagraph"/>
        <w:numPr>
          <w:ilvl w:val="0"/>
          <w:numId w:val="2"/>
        </w:numPr>
        <w:spacing w:after="80"/>
      </w:pPr>
      <w:r>
        <w:rPr>
          <w:b/>
          <w:bCs/>
        </w:rPr>
        <w:t xml:space="preserve">SUI — </w:t>
      </w:r>
      <w:r>
        <w:t xml:space="preserve">Sui Move contract deployment, parallelized execution, object-based asset modeling.</w:t>
      </w:r>
    </w:p>
    <w:p>
      <w:pPr>
        <w:pStyle w:val="Heading2"/>
        <w:spacing w:after="130" w:before="320"/>
      </w:pPr>
      <w:r>
        <w:t xml:space="preserve">8. Technology Stack</w:t>
      </w:r>
    </w:p>
    <w:p>
      <w:pPr>
        <w:pStyle w:val="Heading3"/>
        <w:spacing w:after="80" w:before="200"/>
      </w:pPr>
      <w:r>
        <w:t xml:space="preserve">Languages</w:t>
      </w:r>
    </w:p>
    <w:p>
      <w:pPr>
        <w:spacing w:after="140"/>
      </w:pPr>
      <w:r>
        <w:t xml:space="preserve">Rust, Go, Solidity, C++</w:t>
      </w:r>
    </w:p>
    <w:p>
      <w:pPr>
        <w:pStyle w:val="Heading3"/>
        <w:spacing w:after="80" w:before="200"/>
      </w:pPr>
      <w:r>
        <w:t xml:space="preserve">Frameworks</w:t>
      </w:r>
    </w:p>
    <w:p>
      <w:pPr>
        <w:spacing w:after="140"/>
      </w:pPr>
      <w:r>
        <w:t xml:space="preserve">Substrate, Cosmos SDK, OP Stack, Polygon CDK, Arbitrum Orbit</w:t>
      </w:r>
    </w:p>
    <w:p>
      <w:pPr>
        <w:pStyle w:val="Heading3"/>
        <w:spacing w:after="80" w:before="200"/>
      </w:pPr>
      <w:r>
        <w:t xml:space="preserve">Consensus</w:t>
      </w:r>
    </w:p>
    <w:p>
      <w:pPr>
        <w:spacing w:after="140"/>
      </w:pPr>
      <w:r>
        <w:t xml:space="preserve">Tendermint BFT, PBFT, Proof-of-Stake, Delegated PoS, Custom hybrid mechanisms</w:t>
      </w:r>
    </w:p>
    <w:p>
      <w:pPr>
        <w:pStyle w:val="Heading3"/>
        <w:spacing w:after="80" w:before="200"/>
      </w:pPr>
      <w:r>
        <w:t xml:space="preserve">ZK Tooling</w:t>
      </w:r>
    </w:p>
    <w:p>
      <w:pPr>
        <w:spacing w:after="140"/>
      </w:pPr>
      <w:r>
        <w:t xml:space="preserve">Circom, Halo2, PLONK, zkEVM</w:t>
      </w:r>
    </w:p>
    <w:p>
      <w:pPr>
        <w:pStyle w:val="Heading3"/>
        <w:spacing w:after="80" w:before="200"/>
      </w:pPr>
      <w:r>
        <w:t xml:space="preserve">Infrastructure</w:t>
      </w:r>
    </w:p>
    <w:p>
      <w:pPr>
        <w:spacing w:after="140"/>
      </w:pPr>
      <w:r>
        <w:t xml:space="preserve">Docker, Kubernetes, Terraform, Grafana, Prometheus</w:t>
      </w:r>
    </w:p>
    <w:p>
      <w:pPr>
        <w:pStyle w:val="Heading3"/>
        <w:spacing w:after="80" w:before="200"/>
      </w:pPr>
      <w:r>
        <w:t xml:space="preserve">Bridges</w:t>
      </w:r>
    </w:p>
    <w:p>
      <w:pPr>
        <w:spacing w:after="140"/>
      </w:pPr>
      <w:r>
        <w:t xml:space="preserve">LayerZero, Wormhole, Custom relay architectures</w:t>
      </w:r>
    </w:p>
    <w:p>
      <w:pPr>
        <w:pStyle w:val="Heading2"/>
        <w:spacing w:after="130" w:before="320"/>
      </w:pPr>
      <w:r>
        <w:t xml:space="preserve">9. What Breaks When Chains Scale</w:t>
      </w:r>
    </w:p>
    <w:p>
      <w:pPr>
        <w:pStyle w:val="Heading3"/>
        <w:spacing w:after="80" w:before="200"/>
      </w:pPr>
      <w:r>
        <w:t xml:space="preserve">Validator Centralization Creep</w:t>
      </w:r>
    </w:p>
    <w:p>
      <w:pPr>
        <w:spacing w:after="140"/>
      </w:pPr>
      <w:r>
        <w:t xml:space="preserve">Chains that launch with a fair validator distribution often re-centralize within months as hosting costs and hardware requirements quietly filter out smaller participants. We model minimum viable hardware requirements and staking economics specifically to keep the barrier to entry low as the network matures.</w:t>
      </w:r>
    </w:p>
    <w:p>
      <w:pPr>
        <w:pStyle w:val="Heading3"/>
        <w:spacing w:after="80" w:before="200"/>
      </w:pPr>
      <w:r>
        <w:t xml:space="preserve">Bridge Liquidity Drains</w:t>
      </w:r>
    </w:p>
    <w:p>
      <w:pPr>
        <w:spacing w:after="140"/>
      </w:pPr>
      <w:r>
        <w:t xml:space="preserve">The majority of major crypto exploits in the past several years have targeted bridges, not base-layer consensus. We treat bridge contracts as the highest-risk component in any multi-chain architecture and subject them to a dedicated audit pass beyond the standard chain review.</w:t>
      </w:r>
    </w:p>
    <w:p>
      <w:pPr>
        <w:pStyle w:val="Heading3"/>
        <w:spacing w:after="80" w:before="200"/>
      </w:pPr>
      <w:r>
        <w:t xml:space="preserve">Throughput That Only Works in Testnet</w:t>
      </w:r>
    </w:p>
    <w:p>
      <w:pPr>
        <w:spacing w:after="140"/>
      </w:pPr>
      <w:r>
        <w:t xml:space="preserve">Many chains hit their advertised TPS numbers only under synthetic, uniform test transactions. We benchmark against realistic transaction mixes — including contention-heavy scenarios like NFT mints or token launches — that actually stress the network the way real usage will.</w:t>
      </w:r>
    </w:p>
    <w:p>
      <w:pPr>
        <w:pStyle w:val="Heading3"/>
        <w:spacing w:after="80" w:before="200"/>
      </w:pPr>
      <w:r>
        <w:t xml:space="preserve">Governance Paralysis Post-Launch</w:t>
      </w:r>
    </w:p>
    <w:p>
      <w:pPr>
        <w:spacing w:after="140"/>
      </w:pPr>
      <w:r>
        <w:t xml:space="preserve">Chains without a clear on-chain governance and upgrade process often end up unable to respond quickly to a discovered vulnerability. We build the upgrade and emergency-response pathway into the protocol design itself, not as an afterthought once something breaks.</w:t>
      </w:r>
    </w:p>
    <w:p>
      <w:pPr>
        <w:pStyle w:val="Heading2"/>
        <w:spacing w:after="130" w:before="320"/>
      </w:pPr>
      <w:r>
        <w:t xml:space="preserve">10. Why Protocol Teams Choose Quecko</w:t>
      </w:r>
    </w:p>
    <w:p>
      <w:pPr>
        <w:pStyle w:val="ListParagraph"/>
        <w:numPr>
          <w:ilvl w:val="0"/>
          <w:numId w:val="2"/>
        </w:numPr>
        <w:spacing w:after="80"/>
      </w:pPr>
      <w:r>
        <w:rPr>
          <w:b/>
          <w:bCs/>
        </w:rPr>
        <w:t xml:space="preserve">Deep Consensus Expertise — </w:t>
      </w:r>
      <w:r>
        <w:t xml:space="preserve">Our protocol engineers have hands-on experience with BFT, PoS, and hybrid consensus mechanisms across multiple prior mainnet launches — we design consensus logic from first principles, we don't fork and pray it holds up.</w:t>
      </w:r>
    </w:p>
    <w:p>
      <w:pPr>
        <w:pStyle w:val="ListParagraph"/>
        <w:numPr>
          <w:ilvl w:val="0"/>
          <w:numId w:val="2"/>
        </w:numPr>
        <w:spacing w:after="80"/>
      </w:pPr>
      <w:r>
        <w:rPr>
          <w:b/>
          <w:bCs/>
        </w:rPr>
        <w:t xml:space="preserve">Security-First Architecture — </w:t>
      </w:r>
      <w:r>
        <w:t xml:space="preserve">Every chain we ship undergoes formal verification, adversarial penetration testing, and third-party audits before mainnet — security review is a mandatory gate in our delivery process, not an optional add-on scoped separately.</w:t>
      </w:r>
    </w:p>
    <w:p>
      <w:pPr>
        <w:pStyle w:val="ListParagraph"/>
        <w:numPr>
          <w:ilvl w:val="0"/>
          <w:numId w:val="2"/>
        </w:numPr>
        <w:spacing w:after="80"/>
      </w:pPr>
      <w:r>
        <w:rPr>
          <w:b/>
          <w:bCs/>
        </w:rPr>
        <w:t xml:space="preserve">Full-Spectrum Product Integration — </w:t>
      </w:r>
      <w:r>
        <w:t xml:space="preserve">Your L1/L2 doesn't exist in isolation — we integrate wallets, DEXs, bridges, and frontend applications as part of the same engagement, so you launch with a usable ecosystem, not just a working consensus mechanism nobody can interact with.</w:t>
      </w:r>
    </w:p>
    <w:p>
      <w:pPr>
        <w:pStyle w:val="ListParagraph"/>
        <w:numPr>
          <w:ilvl w:val="0"/>
          <w:numId w:val="2"/>
        </w:numPr>
        <w:spacing w:after="80"/>
      </w:pPr>
      <w:r>
        <w:rPr>
          <w:b/>
          <w:bCs/>
        </w:rPr>
        <w:t xml:space="preserve">Battle-Tested at Scale — </w:t>
      </w:r>
      <w:r>
        <w:t xml:space="preserve">250+ products shipped and 400+ clients across 20+ countries mean we've seen what breaks at scale first-hand, and we engineer against those specific failure modes rather than theoretical ones from a textbook.</w:t>
      </w:r>
    </w:p>
    <w:p>
      <w:pPr>
        <w:pStyle w:val="Heading2"/>
        <w:spacing w:after="130" w:before="320"/>
      </w:pPr>
      <w:r>
        <w:t xml:space="preserve">11. Engagement Models</w:t>
      </w:r>
    </w:p>
    <w:p>
      <w:pPr>
        <w:pStyle w:val="Heading3"/>
        <w:spacing w:after="80" w:before="200"/>
      </w:pPr>
      <w:r>
        <w:t xml:space="preserve">Dedicated Protocol Pod  (Ongoing engagement)</w:t>
      </w:r>
    </w:p>
    <w:p>
      <w:pPr>
        <w:spacing w:after="140"/>
      </w:pPr>
      <w:r>
        <w:t xml:space="preserve">A full-time cross-functional squad — protocol engineers, smart contract developers, DevOps, and QA — embedded directly in your workflow for the duration of the build and beyond.</w:t>
      </w:r>
    </w:p>
    <w:p>
      <w:pPr>
        <w:pStyle w:val="Heading3"/>
        <w:spacing w:after="80" w:before="200"/>
      </w:pPr>
      <w:r>
        <w:t xml:space="preserve">Project-Based Delivery  (4–12 months)</w:t>
      </w:r>
    </w:p>
    <w:p>
      <w:pPr>
        <w:spacing w:after="140"/>
      </w:pPr>
      <w:r>
        <w:t xml:space="preserve">Fixed-scope, milestone-driven chain development from architecture through mainnet, with clearly defined deliverables and sign-off points at each phase.</w:t>
      </w:r>
    </w:p>
    <w:p>
      <w:pPr>
        <w:pStyle w:val="Heading3"/>
        <w:spacing w:after="80" w:before="200"/>
      </w:pPr>
      <w:r>
        <w:t xml:space="preserve">Fractional Protocol Support  (Part-time, ongoing)</w:t>
      </w:r>
    </w:p>
    <w:p>
      <w:pPr>
        <w:spacing w:after="140"/>
      </w:pPr>
      <w:r>
        <w:t xml:space="preserve">Senior protocol engineers available part-time for architecture review, audit preparation, or specifically for testnet-to-mainnet transition support.</w:t>
      </w:r>
    </w:p>
    <w:p>
      <w:pPr>
        <w:pStyle w:val="Heading2"/>
        <w:spacing w:after="130" w:before="320"/>
      </w:pPr>
      <w:r>
        <w:t xml:space="preserve">12. Proof in Production</w:t>
      </w:r>
    </w:p>
    <w:p>
      <w:pPr>
        <w:spacing w:after="140"/>
      </w:pPr>
      <w:r>
        <w:t xml:space="preserve">Pull the most relevant existing portfolio pieces for this page — prioritize any multi-chain or launchpad-adjacent projects (e.g. the existing 'multi-chain' and 'launchpad' portfolio videos already on quecko.com) since they demonstrate protocol-level engineering most directly relevant to an L1/L2 buyer.</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How long does it take to build a custom Layer 1 blockchain?</w:t>
      </w:r>
    </w:p>
    <w:p>
      <w:pPr>
        <w:spacing w:after="140"/>
      </w:pPr>
      <w:r>
        <w:t xml:space="preserve">A production-ready L1 with basic validator infrastructure typically takes 4–6 months from architecture workshop to mainnet. More complex chains involving custom consensus mechanisms, cross-chain bridges, and a full ecosystem tooling suite (SDKs, block explorers, wallet integrations) can extend to 6–12 months. The single biggest timeline variable is usually bridge complexity, not the base consensus layer itself, since bridges require an independent audit pass on top of the core chain review.</w:t>
      </w:r>
    </w:p>
    <w:p>
      <w:pPr>
        <w:pStyle w:val="Heading3"/>
        <w:spacing w:after="80" w:before="200"/>
      </w:pPr>
      <w:r>
        <w:t xml:space="preserve">Can you build a Layer 2 on top of an existing chain like Ethereum?</w:t>
      </w:r>
    </w:p>
    <w:p>
      <w:pPr>
        <w:spacing w:after="140"/>
      </w:pPr>
      <w:r>
        <w:t xml:space="preserve">Yes. We build optimistic rollups, zk-rollups, and app-specific L2s using established frameworks like OP Stack, Arbitrum Orbit, and Polygon CDK when your requirements fit an existing framework well, or fully custom rollup implementations when the use case genuinely demands something a framework doesn't offer — such as unusual settlement logic or a non-standard fraud-proof design.</w:t>
      </w:r>
    </w:p>
    <w:p>
      <w:pPr>
        <w:pStyle w:val="Heading3"/>
        <w:spacing w:after="80" w:before="200"/>
      </w:pPr>
      <w:r>
        <w:t xml:space="preserve">How do you handle security for blockchain infrastructure?</w:t>
      </w:r>
    </w:p>
    <w:p>
      <w:pPr>
        <w:spacing w:after="140"/>
      </w:pPr>
      <w:r>
        <w:t xml:space="preserve">Every component undergoes formal verification of critical logic, automated static analysis, manual code review by engineers who didn't write the original code, and a third-party security audit before any mainnet deployment. For bridges and cross-chain components specifically, we implement multi-signature validation, fraud proofs, and real-time monitoring with automated circuit-breakers that can pause a bridge if anomalous activity is detected.</w:t>
      </w:r>
    </w:p>
    <w:p>
      <w:pPr>
        <w:pStyle w:val="Heading3"/>
        <w:spacing w:after="80" w:before="200"/>
      </w:pPr>
      <w:r>
        <w:t xml:space="preserve">Do you provide post-launch support?</w:t>
      </w:r>
    </w:p>
    <w:p>
      <w:pPr>
        <w:spacing w:after="140"/>
      </w:pPr>
      <w:r>
        <w:t xml:space="preserve">Yes. Post-launch, we offer ongoing validator monitoring and alerting, performance optimization as real transaction patterns emerge, upgrade engineering for protocol improvements, and ecosystem development support to help onboard the developers and validators who will actually use the chain. Most chains need meaningful tuning in their first 90 days post-mainnet as real usage patterns diverge from testnet assumptions.</w:t>
      </w:r>
    </w:p>
    <w:p>
      <w:pPr>
        <w:pStyle w:val="Heading3"/>
        <w:spacing w:after="80" w:before="200"/>
      </w:pPr>
      <w:r>
        <w:t xml:space="preserve">What happens if we need to change the consensus mechanism after launch?</w:t>
      </w:r>
    </w:p>
    <w:p>
      <w:pPr>
        <w:spacing w:after="140"/>
      </w:pPr>
      <w:r>
        <w:t xml:space="preserve">This is exactly why we build the governance and upgrade pathway into the protocol from day one rather than treating it as a later concern. A well-designed chain includes a clear on-chain or coordinated off-chain upgrade process, so mechanism adjustments — within reason — can be executed as a governed upgrade rather than requiring a hard fork or full relaunch.</w:t>
      </w:r>
    </w:p>
    <w:p>
      <w:pPr>
        <w:pStyle w:val="Heading3"/>
        <w:spacing w:after="80" w:before="200"/>
      </w:pPr>
      <w:r>
        <w:t xml:space="preserve">Do we need our own token to launch a Layer 1?</w:t>
      </w:r>
    </w:p>
    <w:p>
      <w:pPr>
        <w:spacing w:after="140"/>
      </w:pPr>
      <w:r>
        <w:t xml:space="preserve">In almost all cases yes, since the native token typically secures the network through staking and pays for transaction fees — but the tokenomics design (supply, emission schedule, validator rewards) needs the same rigor as the consensus mechanism itself. We coordinate this directly with our Coin &amp; Token Development team so the economic and technical layers are designed together, not separately.</w:t>
      </w:r>
    </w:p>
    <w:p>
      <w:pPr>
        <w:pStyle w:val="Heading2"/>
        <w:spacing w:after="130" w:before="320"/>
      </w:pPr>
      <w:r>
        <w:t xml:space="preserve">15. Closing CTA</w:t>
      </w:r>
    </w:p>
    <w:p>
      <w:pPr>
        <w:spacing w:after="140"/>
      </w:pPr>
      <w:r>
        <w:t xml:space="preserve">Whether you're building a sovereign Layer 1 or scaling with a custom Layer 2, Quecko's protocol engineers are ready to take you from whitepaper to mainnet.</w:t>
      </w:r>
    </w:p>
    <w:p>
      <w:pPr>
        <w:spacing w:after="160"/>
      </w:pPr>
      <w:r>
        <w:rPr>
          <w:i/>
          <w:iCs/>
        </w:rPr>
        <w:t xml:space="preserve">CTA Buttons: "Talk to a Protocol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2026-08-03T14:07:06.669Z</dcterms:created>
  <dcterms:modified xsi:type="dcterms:W3CDTF">2026-08-03T14:07:06.680Z</dcterms:modified>
</cp:coreProperties>
</file>

<file path=docProps/custom.xml><?xml version="1.0" encoding="utf-8"?>
<Properties xmlns="http://schemas.openxmlformats.org/officeDocument/2006/custom-properties" xmlns:vt="http://schemas.openxmlformats.org/officeDocument/2006/docPropsVTypes"/>
</file>