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Prediction &amp; Opinion Market Development</w:t>
      </w:r>
    </w:p>
    <w:p>
      <w:pPr>
        <w:spacing w:after="160"/>
      </w:pPr>
      <w:r>
        <w:rPr>
          <w:i/>
          <w:iCs/>
        </w:rPr>
        <w:t xml:space="preserve">Suggested URL: quecko.com/services/web3/prediction-opinion-markets</w:t>
      </w:r>
    </w:p>
    <w:p>
      <w:pPr>
        <w:spacing w:after="100"/>
      </w:pPr>
      <w:r>
        <w:rPr>
          <w:b/>
          <w:bCs/>
        </w:rPr>
        <w:t xml:space="preserve">Meta Title: </w:t>
      </w:r>
      <w:r>
        <w:t xml:space="preserve">Prediction Market Development Services | Quecko</w:t>
      </w:r>
    </w:p>
    <w:p>
      <w:pPr>
        <w:spacing w:after="100"/>
      </w:pPr>
      <w:r>
        <w:rPr>
          <w:b/>
          <w:bCs/>
        </w:rPr>
        <w:t xml:space="preserve">Meta Description: </w:t>
      </w:r>
      <w:r>
        <w:t xml:space="preserve">Quecko builds prediction and opinion market platforms — AMM-based odds pricing, oracle-based resolution, and dispute mechanisms for real-money forecasting markets.</w:t>
      </w:r>
    </w:p>
    <w:p>
      <w:pPr>
        <w:spacing w:after="100"/>
      </w:pPr>
      <w:r>
        <w:rPr>
          <w:b/>
          <w:bCs/>
        </w:rPr>
        <w:t xml:space="preserve">One-Line Positioning: </w:t>
      </w:r>
      <w:r>
        <w:t xml:space="preserve">Markets people trust, because the resolution process was designed first, not last.</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probability bar shifting in real time between Yes/No outcomes as simulated trades come in). Headline (2 rotating/A-B testable variants provided below), one-line subhead, dual CTA buttons, and the standard 4-stat ticker row underneath.</w:t>
      </w:r>
    </w:p>
    <w:p>
      <w:pPr>
        <w:pStyle w:val="Heading3"/>
        <w:spacing w:after="80" w:before="200"/>
      </w:pPr>
      <w:r>
        <w:t xml:space="preserve">2. Markets That Price Belief</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Trust Collapses at Resolution, Not at Trading</w:t>
      </w:r>
    </w:p>
    <w:p>
      <w:pPr>
        <w:spacing w:after="140"/>
      </w:pPr>
      <w:r>
        <w:t xml:space="preserve">Centered narrative paragraph, followed by a two-column "Old Way vs. Quecko Way" comparison list — undefined</w:t>
      </w:r>
    </w:p>
    <w:p>
      <w:pPr>
        <w:pStyle w:val="Heading3"/>
        <w:spacing w:after="80" w:before="200"/>
      </w:pPr>
      <w:r>
        <w:t xml:space="preserve">4. From Mechanism Design to Fair Resolution</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Market Integrity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Resolution Failure Modes We Engineer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Operators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Odds That Move With Real Belief, Resolved Without Disputes.</w:t>
      </w:r>
    </w:p>
    <w:p>
      <w:pPr>
        <w:pStyle w:val="Heading3"/>
        <w:spacing w:after="80" w:before="200"/>
      </w:pPr>
      <w:r>
        <w:t xml:space="preserve">Headline — Option B</w:t>
      </w:r>
    </w:p>
    <w:p>
      <w:pPr>
        <w:spacing w:after="140"/>
      </w:pPr>
      <w:r>
        <w:t xml:space="preserve">Markets Only Work if Settlement Feels Fair.</w:t>
      </w:r>
    </w:p>
    <w:p>
      <w:pPr>
        <w:pStyle w:val="Heading3"/>
        <w:spacing w:after="80" w:before="200"/>
      </w:pPr>
      <w:r>
        <w:t xml:space="preserve">Subheadline</w:t>
      </w:r>
    </w:p>
    <w:p>
      <w:pPr>
        <w:spacing w:after="140"/>
      </w:pPr>
      <w:r>
        <w:t xml:space="preserve">Quecko builds prediction and opinion market platforms — AMM-based probability pricing, oracle-driven resolution, and dispute mechanisms — for forecasting markets spanning politics, sports, crypto, and beyond, engineered around the part that actually determines whether users trust the platform.</w:t>
      </w:r>
    </w:p>
    <w:p>
      <w:pPr>
        <w:spacing w:after="160"/>
      </w:pPr>
      <w:r>
        <w:rPr>
          <w:i/>
          <w:iCs/>
        </w:rPr>
        <w:t xml:space="preserve">CTA Buttons: "Talk to a Markets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Markets That Price Belief</w:t>
      </w:r>
    </w:p>
    <w:p>
      <w:pPr>
        <w:spacing w:after="140"/>
      </w:pPr>
      <w:r>
        <w:t xml:space="preserve">Prediction markets have moved from a niche academic curiosity into mainstream financial attention, with major platforms now processing meaningful volume around elections, sports outcomes, and macroeconomic events — treated by increasing numbers of users as a genuinely more reliable forecasting signal than traditional polling or punditry. That growing trust is fragile, though, and it rests entirely on whether users believe the platform will settle ambiguous or contested outcomes fairly, which is a harder engineering and governance problem than the trading mechanics themselves.</w:t>
      </w:r>
    </w:p>
    <w:p>
      <w:pPr>
        <w:pStyle w:val="Heading2"/>
        <w:spacing w:after="130" w:before="320"/>
      </w:pPr>
      <w:r>
        <w:t xml:space="preserve">3. Why Trust Collapses at Resolution, Not at Trading</w:t>
      </w:r>
    </w:p>
    <w:p>
      <w:pPr>
        <w:spacing w:after="140"/>
      </w:pPr>
      <w:r>
        <w:t xml:space="preserve">A prediction market lives or dies on its resolution process — if users don't trust that outcomes will be settled fairly, promptly, and consistently, no amount of clever AMM pricing design matters, because nobody wants to hold a position they're not confident will settle correctly. Building a genuinely credible resolution mechanism — oracle-based, community-dispute-based, or some hybrid of the two — is significantly harder engineering and governance work than the trading mechanics themselves, and it's exactly the part most teams under-invest in relative to how much it determines the platform's long-term credibility.</w:t>
      </w:r>
    </w:p>
    <w:p>
      <w:pPr>
        <w:pStyle w:val="Heading3"/>
        <w:spacing w:after="80" w:before="200"/>
      </w:pPr>
      <w:r>
        <w:t xml:space="preserve">The Old Way</w:t>
      </w:r>
    </w:p>
    <w:p>
      <w:pPr>
        <w:pStyle w:val="ListParagraph"/>
        <w:numPr>
          <w:ilvl w:val="0"/>
          <w:numId w:val="2"/>
        </w:numPr>
        <w:spacing w:after="70"/>
      </w:pPr>
      <w:r>
        <w:t xml:space="preserve">Design the AMM pricing curve carefully, treat resolution as a simple admin function</w:t>
      </w:r>
    </w:p>
    <w:p>
      <w:pPr>
        <w:pStyle w:val="ListParagraph"/>
        <w:numPr>
          <w:ilvl w:val="0"/>
          <w:numId w:val="2"/>
        </w:numPr>
        <w:spacing w:after="70"/>
      </w:pPr>
      <w:r>
        <w:t xml:space="preserve">Rely on a single centralized party to determine outcomes with no dispute process</w:t>
      </w:r>
    </w:p>
    <w:p>
      <w:pPr>
        <w:pStyle w:val="ListParagraph"/>
        <w:numPr>
          <w:ilvl w:val="0"/>
          <w:numId w:val="2"/>
        </w:numPr>
        <w:spacing w:after="70"/>
      </w:pPr>
      <w:r>
        <w:t xml:space="preserve">Launch without a plan for genuinely ambiguous or contested real-world events</w:t>
      </w:r>
    </w:p>
    <w:p>
      <w:pPr>
        <w:pStyle w:val="ListParagraph"/>
        <w:numPr>
          <w:ilvl w:val="0"/>
          <w:numId w:val="2"/>
        </w:numPr>
        <w:spacing w:after="70"/>
      </w:pPr>
      <w:r>
        <w:t xml:space="preserve">Support only one market category without infrastructure flexible enough to expand</w:t>
      </w:r>
    </w:p>
    <w:p>
      <w:pPr>
        <w:pStyle w:val="Heading3"/>
        <w:spacing w:after="80" w:before="200"/>
      </w:pPr>
      <w:r>
        <w:t xml:space="preserve">The Quecko Way</w:t>
      </w:r>
    </w:p>
    <w:p>
      <w:pPr>
        <w:pStyle w:val="ListParagraph"/>
        <w:numPr>
          <w:ilvl w:val="0"/>
          <w:numId w:val="2"/>
        </w:numPr>
        <w:spacing w:after="70"/>
      </w:pPr>
      <w:r>
        <w:t xml:space="preserve">Design the resolution and dispute mechanism first, since it determines whether the market is trusted at all</w:t>
      </w:r>
    </w:p>
    <w:p>
      <w:pPr>
        <w:pStyle w:val="ListParagraph"/>
        <w:numPr>
          <w:ilvl w:val="0"/>
          <w:numId w:val="2"/>
        </w:numPr>
        <w:spacing w:after="70"/>
      </w:pPr>
      <w:r>
        <w:t xml:space="preserve">Integrate decentralized or optimistic oracle networks for objective, verifiable settlement</w:t>
      </w:r>
    </w:p>
    <w:p>
      <w:pPr>
        <w:pStyle w:val="ListParagraph"/>
        <w:numPr>
          <w:ilvl w:val="0"/>
          <w:numId w:val="2"/>
        </w:numPr>
        <w:spacing w:after="70"/>
      </w:pPr>
      <w:r>
        <w:t xml:space="preserve">Build an explicit escalation path for ambiguous outcomes, whether community-vote or arbitration-based</w:t>
      </w:r>
    </w:p>
    <w:p>
      <w:pPr>
        <w:pStyle w:val="ListParagraph"/>
        <w:numPr>
          <w:ilvl w:val="0"/>
          <w:numId w:val="2"/>
        </w:numPr>
        <w:spacing w:after="70"/>
      </w:pPr>
      <w:r>
        <w:t xml:space="preserve">Architect the platform to support new market categories without requiring a rebuild</w:t>
      </w:r>
    </w:p>
    <w:p>
      <w:pPr>
        <w:pStyle w:val="Heading2"/>
        <w:spacing w:after="130" w:before="320"/>
      </w:pPr>
      <w:r>
        <w:t xml:space="preserve">4. From Mechanism Design to Fair Resolution</w:t>
      </w:r>
    </w:p>
    <w:p>
      <w:pPr>
        <w:spacing w:after="60" w:before="160"/>
      </w:pPr>
      <w:r>
        <w:rPr>
          <w:b/>
          <w:bCs/>
          <w:sz w:val="24"/>
          <w:szCs w:val="24"/>
        </w:rPr>
        <w:t xml:space="preserve">1. Market Mechanism Design</w:t>
      </w:r>
    </w:p>
    <w:p>
      <w:pPr>
        <w:spacing w:after="140"/>
      </w:pPr>
      <w:r>
        <w:t xml:space="preserve">Define the AMM pricing model (LMSR or an equivalent), target market categories, and — critically — the resolution mechanism approach before any trading infrastructure is built.</w:t>
      </w:r>
    </w:p>
    <w:p>
      <w:pPr>
        <w:spacing w:after="60" w:before="160"/>
      </w:pPr>
      <w:r>
        <w:rPr>
          <w:b/>
          <w:bCs/>
          <w:sz w:val="24"/>
          <w:szCs w:val="24"/>
        </w:rPr>
        <w:t xml:space="preserve">2. Platform Development</w:t>
      </w:r>
    </w:p>
    <w:p>
      <w:pPr>
        <w:spacing w:after="140"/>
      </w:pPr>
      <w:r>
        <w:t xml:space="preserve">Build market creation, trading, and position-tracking infrastructure alongside the resolution/dispute system as parallel, equally-prioritized workstreams rather than sequencing resolution as an afterthought.</w:t>
      </w:r>
    </w:p>
    <w:p>
      <w:pPr>
        <w:spacing w:after="60" w:before="160"/>
      </w:pPr>
      <w:r>
        <w:rPr>
          <w:b/>
          <w:bCs/>
          <w:sz w:val="24"/>
          <w:szCs w:val="24"/>
        </w:rPr>
        <w:t xml:space="preserve">3. Resolution &amp; Dispute System Build</w:t>
      </w:r>
    </w:p>
    <w:p>
      <w:pPr>
        <w:spacing w:after="140"/>
      </w:pPr>
      <w:r>
        <w:t xml:space="preserve">Implement oracle integration for objective outcomes and a clear escalation path — community vote, arbitration, or hybrid — for the genuinely ambiguous cases that inevitably arise in real-world event markets.</w:t>
      </w:r>
    </w:p>
    <w:p>
      <w:pPr>
        <w:spacing w:after="60" w:before="160"/>
      </w:pPr>
      <w:r>
        <w:rPr>
          <w:b/>
          <w:bCs/>
          <w:sz w:val="24"/>
          <w:szCs w:val="24"/>
        </w:rPr>
        <w:t xml:space="preserve">4. Security Audit &amp; Resolution Stress-Testing</w:t>
      </w:r>
    </w:p>
    <w:p>
      <w:pPr>
        <w:spacing w:after="140"/>
      </w:pPr>
      <w:r>
        <w:t xml:space="preserve">Audit trading and settlement contracts, then specifically stress-test the resolution and dispute process against historical examples of ambiguous or contested real-world outcomes.</w:t>
      </w:r>
    </w:p>
    <w:p>
      <w:pPr>
        <w:spacing w:after="60" w:before="160"/>
      </w:pPr>
      <w:r>
        <w:rPr>
          <w:b/>
          <w:bCs/>
          <w:sz w:val="24"/>
          <w:szCs w:val="24"/>
        </w:rPr>
        <w:t xml:space="preserve">5. Launch &amp; Market Operations</w:t>
      </w:r>
    </w:p>
    <w:p>
      <w:pPr>
        <w:spacing w:after="140"/>
      </w:pPr>
      <w:r>
        <w:t xml:space="preserve">Go-live with initial market seeding, liquidity provisioning, and ongoing market curation tooling so the platform launches with usable markets rather than empty, illiquid listings.</w:t>
      </w:r>
    </w:p>
    <w:p>
      <w:pPr>
        <w:pStyle w:val="Heading2"/>
        <w:spacing w:after="130" w:before="320"/>
      </w:pPr>
      <w:r>
        <w:t xml:space="preserve">5. Capabilities</w:t>
      </w:r>
    </w:p>
    <w:p>
      <w:pPr>
        <w:pStyle w:val="Heading3"/>
        <w:spacing w:after="80" w:before="200"/>
      </w:pPr>
      <w:r>
        <w:t xml:space="preserve">AMM-Based Odds Pricing</w:t>
      </w:r>
    </w:p>
    <w:p>
      <w:pPr>
        <w:spacing w:after="140"/>
      </w:pPr>
      <w:r>
        <w:t xml:space="preserve">LMSR or constant-function market maker pricing models that update probability in real time as positions are taken, tuned specifically to the liquidity and volatility patterns typical of event-based markets.</w:t>
      </w:r>
    </w:p>
    <w:p>
      <w:pPr>
        <w:pStyle w:val="Heading3"/>
        <w:spacing w:after="80" w:before="200"/>
      </w:pPr>
      <w:r>
        <w:t xml:space="preserve">Oracle-Based Resolution</w:t>
      </w:r>
    </w:p>
    <w:p>
      <w:pPr>
        <w:spacing w:after="140"/>
      </w:pPr>
      <w:r>
        <w:t xml:space="preserve">Integration with decentralized or optimistic oracle networks for objective, verifiable outcome resolution on markets with a clear, checkable real-world answer.</w:t>
      </w:r>
    </w:p>
    <w:p>
      <w:pPr>
        <w:pStyle w:val="Heading3"/>
        <w:spacing w:after="80" w:before="200"/>
      </w:pPr>
      <w:r>
        <w:t xml:space="preserve">Dispute &amp; Community Resolution</w:t>
      </w:r>
    </w:p>
    <w:p>
      <w:pPr>
        <w:spacing w:after="140"/>
      </w:pPr>
      <w:r>
        <w:t xml:space="preserve">Escalation and dispute mechanisms for genuinely ambiguous outcomes, including community-vote or arbitration-based fallback resolution designed to be resistant to manipulation by any single large stakeholder.</w:t>
      </w:r>
    </w:p>
    <w:p>
      <w:pPr>
        <w:pStyle w:val="Heading3"/>
        <w:spacing w:after="80" w:before="200"/>
      </w:pPr>
      <w:r>
        <w:t xml:space="preserve">Market Creation Tooling</w:t>
      </w:r>
    </w:p>
    <w:p>
      <w:pPr>
        <w:spacing w:after="140"/>
      </w:pPr>
      <w:r>
        <w:t xml:space="preserve">Permissioned or permissionless market creation workflows with category curation and quality control, preventing low-quality or manipulable markets from undermining platform trust.</w:t>
      </w:r>
    </w:p>
    <w:p>
      <w:pPr>
        <w:pStyle w:val="Heading3"/>
        <w:spacing w:after="80" w:before="200"/>
      </w:pPr>
      <w:r>
        <w:t xml:space="preserve">Position &amp; Portfolio Tracking</w:t>
      </w:r>
    </w:p>
    <w:p>
      <w:pPr>
        <w:spacing w:after="140"/>
      </w:pPr>
      <w:r>
        <w:t xml:space="preserve">User dashboards showing open positions, historical performance, and settlement outcomes, giving users clear visibility into how and why a market resolved the way it did.</w:t>
      </w:r>
    </w:p>
    <w:p>
      <w:pPr>
        <w:pStyle w:val="Heading3"/>
        <w:spacing w:after="80" w:before="200"/>
      </w:pPr>
      <w:r>
        <w:t xml:space="preserve">Multi-Category Market Support</w:t>
      </w:r>
    </w:p>
    <w:p>
      <w:pPr>
        <w:spacing w:after="140"/>
      </w:pPr>
      <w:r>
        <w:t xml:space="preserve">Infrastructure supporting politics, sports, crypto prices, and custom event categories simultaneously without requiring separate platform instances per category.</w:t>
      </w:r>
    </w:p>
    <w:p>
      <w:pPr>
        <w:pStyle w:val="Heading2"/>
        <w:spacing w:after="130" w:before="320"/>
      </w:pPr>
      <w:r>
        <w:t xml:space="preserve">6. Market Integrity Benchmarks We Build To</w:t>
      </w:r>
    </w:p>
    <w:p>
      <w:pPr>
        <w:pStyle w:val="ListParagraph"/>
        <w:numPr>
          <w:ilvl w:val="0"/>
          <w:numId w:val="2"/>
        </w:numPr>
        <w:spacing w:after="80"/>
      </w:pPr>
      <w:r>
        <w:rPr>
          <w:b/>
          <w:bCs/>
        </w:rPr>
        <w:t xml:space="preserve">Resolution designed before trading UX — </w:t>
      </w:r>
      <w:r>
        <w:t xml:space="preserve">as a deliberate sequencing decision in every engagement</w:t>
      </w:r>
    </w:p>
    <w:p>
      <w:pPr>
        <w:pStyle w:val="ListParagraph"/>
        <w:numPr>
          <w:ilvl w:val="0"/>
          <w:numId w:val="2"/>
        </w:numPr>
        <w:spacing w:after="80"/>
      </w:pPr>
      <w:r>
        <w:rPr>
          <w:b/>
          <w:bCs/>
        </w:rPr>
        <w:t xml:space="preserve">Dual-path settlement — </w:t>
      </w:r>
      <w:r>
        <w:t xml:space="preserve">objective oracle resolution plus a dispute fallback for genuinely ambiguous cases</w:t>
      </w:r>
    </w:p>
    <w:p>
      <w:pPr>
        <w:pStyle w:val="ListParagraph"/>
        <w:numPr>
          <w:ilvl w:val="0"/>
          <w:numId w:val="2"/>
        </w:numPr>
        <w:spacing w:after="80"/>
      </w:pPr>
      <w:r>
        <w:rPr>
          <w:b/>
          <w:bCs/>
        </w:rPr>
        <w:t xml:space="preserve">Manipulation-resistant dispute design — </w:t>
      </w:r>
      <w:r>
        <w:t xml:space="preserve">escalation paths engineered against single-stakeholder dominance</w:t>
      </w:r>
    </w:p>
    <w:p>
      <w:pPr>
        <w:pStyle w:val="ListParagraph"/>
        <w:numPr>
          <w:ilvl w:val="0"/>
          <w:numId w:val="2"/>
        </w:numPr>
        <w:spacing w:after="80"/>
      </w:pPr>
      <w:r>
        <w:rPr>
          <w:b/>
          <w:bCs/>
        </w:rPr>
        <w:t xml:space="preserve">Multi-category infrastructure — </w:t>
      </w:r>
      <w:r>
        <w:t xml:space="preserve">one platform architecture supporting diverse event types from launch</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Primary deployment target for prediction market smart contracts, with L2 for lower trading fees.</w:t>
      </w:r>
    </w:p>
    <w:p>
      <w:pPr>
        <w:pStyle w:val="ListParagraph"/>
        <w:numPr>
          <w:ilvl w:val="0"/>
          <w:numId w:val="2"/>
        </w:numPr>
        <w:spacing w:after="80"/>
      </w:pPr>
      <w:r>
        <w:rPr>
          <w:b/>
          <w:bCs/>
        </w:rPr>
        <w:t xml:space="preserve">Polygon — </w:t>
      </w:r>
      <w:r>
        <w:t xml:space="preserve">Low-fee deployment suited to high-frequency retail trading activity.</w:t>
      </w:r>
    </w:p>
    <w:p>
      <w:pPr>
        <w:pStyle w:val="Heading2"/>
        <w:spacing w:after="130" w:before="320"/>
      </w:pPr>
      <w:r>
        <w:t xml:space="preserve">8. Technology Stack</w:t>
      </w:r>
    </w:p>
    <w:p>
      <w:pPr>
        <w:pStyle w:val="Heading3"/>
        <w:spacing w:after="80" w:before="200"/>
      </w:pPr>
      <w:r>
        <w:t xml:space="preserve">Smart Contracts</w:t>
      </w:r>
    </w:p>
    <w:p>
      <w:pPr>
        <w:spacing w:after="140"/>
      </w:pPr>
      <w:r>
        <w:t xml:space="preserve">Solidity</w:t>
      </w:r>
    </w:p>
    <w:p>
      <w:pPr>
        <w:pStyle w:val="Heading3"/>
        <w:spacing w:after="80" w:before="200"/>
      </w:pPr>
      <w:r>
        <w:t xml:space="preserve">AMM Models</w:t>
      </w:r>
    </w:p>
    <w:p>
      <w:pPr>
        <w:spacing w:after="140"/>
      </w:pPr>
      <w:r>
        <w:t xml:space="preserve">LMSR, Constant-function market makers</w:t>
      </w:r>
    </w:p>
    <w:p>
      <w:pPr>
        <w:pStyle w:val="Heading3"/>
        <w:spacing w:after="80" w:before="200"/>
      </w:pPr>
      <w:r>
        <w:t xml:space="preserve">Oracles</w:t>
      </w:r>
    </w:p>
    <w:p>
      <w:pPr>
        <w:spacing w:after="140"/>
      </w:pPr>
      <w:r>
        <w:t xml:space="preserve">Optimistic oracles (UMA-style), Chainlink</w:t>
      </w:r>
    </w:p>
    <w:p>
      <w:pPr>
        <w:pStyle w:val="Heading3"/>
        <w:spacing w:after="80" w:before="200"/>
      </w:pPr>
      <w:r>
        <w:t xml:space="preserve">Backend</w:t>
      </w:r>
    </w:p>
    <w:p>
      <w:pPr>
        <w:spacing w:after="140"/>
      </w:pPr>
      <w:r>
        <w:t xml:space="preserve">Node.js, PostgreSQL</w:t>
      </w:r>
    </w:p>
    <w:p>
      <w:pPr>
        <w:pStyle w:val="Heading2"/>
        <w:spacing w:after="130" w:before="320"/>
      </w:pPr>
      <w:r>
        <w:t xml:space="preserve">9. Resolution Failure Modes We Engineer Against</w:t>
      </w:r>
    </w:p>
    <w:p>
      <w:pPr>
        <w:pStyle w:val="Heading3"/>
        <w:spacing w:after="80" w:before="200"/>
      </w:pPr>
      <w:r>
        <w:t xml:space="preserve">Ambiguous Outcomes With No Escalation Path</w:t>
      </w:r>
    </w:p>
    <w:p>
      <w:pPr>
        <w:spacing w:after="140"/>
      </w:pPr>
      <w:r>
        <w:t xml:space="preserve">Real-world events routinely produce genuinely ambiguous results (disputed election counts, delayed sports outcomes) that a purely automated oracle can't resolve cleanly. We build an explicit dispute/arbitration fallback specifically for these cases before launch, not as an emergency patch afterward.</w:t>
      </w:r>
    </w:p>
    <w:p>
      <w:pPr>
        <w:pStyle w:val="Heading3"/>
        <w:spacing w:after="80" w:before="200"/>
      </w:pPr>
      <w:r>
        <w:t xml:space="preserve">Oracle Single Points of Failure</w:t>
      </w:r>
    </w:p>
    <w:p>
      <w:pPr>
        <w:spacing w:after="140"/>
      </w:pPr>
      <w:r>
        <w:t xml:space="preserve">Relying on a single oracle source for resolution creates a single point of failure and manipulation risk, particularly for high-value markets. We favor decentralized or optimistic oracle designs with economic incentives against dishonest reporting.</w:t>
      </w:r>
    </w:p>
    <w:p>
      <w:pPr>
        <w:pStyle w:val="Heading3"/>
        <w:spacing w:after="80" w:before="200"/>
      </w:pPr>
      <w:r>
        <w:t xml:space="preserve">Late Resolution Eroding Trust</w:t>
      </w:r>
    </w:p>
    <w:p>
      <w:pPr>
        <w:spacing w:after="140"/>
      </w:pPr>
      <w:r>
        <w:t xml:space="preserve">Markets that take too long to resolve after an outcome is clear frustrate users and damage platform credibility even when the eventual resolution is correct. We design resolution timelines and automated triggers to settle markets as promptly as the underlying event allows.</w:t>
      </w:r>
    </w:p>
    <w:p>
      <w:pPr>
        <w:pStyle w:val="Heading3"/>
        <w:spacing w:after="80" w:before="200"/>
      </w:pPr>
      <w:r>
        <w:t xml:space="preserve">Governance Capture in Dispute Resolution</w:t>
      </w:r>
    </w:p>
    <w:p>
      <w:pPr>
        <w:spacing w:after="140"/>
      </w:pPr>
      <w:r>
        <w:t xml:space="preserve">Community-vote dispute mechanisms can be captured by a single large stakeholder if not carefully designed. We build voting weight and quorum mechanics specifically to resist this concentration risk.</w:t>
      </w:r>
    </w:p>
    <w:p>
      <w:pPr>
        <w:pStyle w:val="Heading2"/>
        <w:spacing w:after="130" w:before="320"/>
      </w:pPr>
      <w:r>
        <w:t xml:space="preserve">10. Why Operators Choose Quecko</w:t>
      </w:r>
    </w:p>
    <w:p>
      <w:pPr>
        <w:pStyle w:val="ListParagraph"/>
        <w:numPr>
          <w:ilvl w:val="0"/>
          <w:numId w:val="2"/>
        </w:numPr>
        <w:spacing w:after="80"/>
      </w:pPr>
      <w:r>
        <w:rPr>
          <w:b/>
          <w:bCs/>
        </w:rPr>
        <w:t xml:space="preserve">Resolution-First Design — </w:t>
      </w:r>
      <w:r>
        <w:t xml:space="preserve">We design the dispute/resolution mechanism first in every engagement, since it determines whether users trust the market at all, rather than treating it as a secondary concern behind trading UX.</w:t>
      </w:r>
    </w:p>
    <w:p>
      <w:pPr>
        <w:pStyle w:val="ListParagraph"/>
        <w:numPr>
          <w:ilvl w:val="0"/>
          <w:numId w:val="2"/>
        </w:numPr>
        <w:spacing w:after="80"/>
      </w:pPr>
      <w:r>
        <w:rPr>
          <w:b/>
          <w:bCs/>
        </w:rPr>
        <w:t xml:space="preserve">AMM Modeling Depth — </w:t>
      </w:r>
      <w:r>
        <w:t xml:space="preserve">Experience with LMSR and constant-function pricing models specifically tuned for prediction-market liquidity behavior, which differs meaningfully from typical DeFi AMM liquidity patterns.</w:t>
      </w:r>
    </w:p>
    <w:p>
      <w:pPr>
        <w:pStyle w:val="ListParagraph"/>
        <w:numPr>
          <w:ilvl w:val="0"/>
          <w:numId w:val="2"/>
        </w:numPr>
        <w:spacing w:after="80"/>
      </w:pPr>
      <w:r>
        <w:rPr>
          <w:b/>
          <w:bCs/>
        </w:rPr>
        <w:t xml:space="preserve">Oracle Integration Expertise — </w:t>
      </w:r>
      <w:r>
        <w:t xml:space="preserve">Direct experience integrating optimistic and decentralized oracle networks for objective settlement across a range of event categories.</w:t>
      </w:r>
    </w:p>
    <w:p>
      <w:pPr>
        <w:pStyle w:val="ListParagraph"/>
        <w:numPr>
          <w:ilvl w:val="0"/>
          <w:numId w:val="2"/>
        </w:numPr>
        <w:spacing w:after="80"/>
      </w:pPr>
      <w:r>
        <w:rPr>
          <w:b/>
          <w:bCs/>
        </w:rPr>
        <w:t xml:space="preserve">Multi-Category Flexibility — </w:t>
      </w:r>
      <w:r>
        <w:t xml:space="preserve">Platforms built to support diverse market categories from day one, without needing a separate rebuild each time a new vertical is added.</w:t>
      </w:r>
    </w:p>
    <w:p>
      <w:pPr>
        <w:pStyle w:val="Heading2"/>
        <w:spacing w:after="130" w:before="320"/>
      </w:pPr>
      <w:r>
        <w:t xml:space="preserve">11. Engagement Models</w:t>
      </w:r>
    </w:p>
    <w:p>
      <w:pPr>
        <w:pStyle w:val="Heading3"/>
        <w:spacing w:after="80" w:before="200"/>
      </w:pPr>
      <w:r>
        <w:t xml:space="preserve">Full Platform Build  (4–7 months typical)</w:t>
      </w:r>
    </w:p>
    <w:p>
      <w:pPr>
        <w:spacing w:after="140"/>
      </w:pPr>
      <w:r>
        <w:t xml:space="preserve">End-to-end prediction market platform from mechanism design and resolution architecture through launch.</w:t>
      </w:r>
    </w:p>
    <w:p>
      <w:pPr>
        <w:pStyle w:val="Heading3"/>
        <w:spacing w:after="80" w:before="200"/>
      </w:pPr>
      <w:r>
        <w:t xml:space="preserve">Resolution System Only  (6–10 weeks)</w:t>
      </w:r>
    </w:p>
    <w:p>
      <w:pPr>
        <w:spacing w:after="140"/>
      </w:pPr>
      <w:r>
        <w:t xml:space="preserve">Oracle and dispute-resolution infrastructure built for an existing trading platform that needs a stronger settlement layer.</w:t>
      </w:r>
    </w:p>
    <w:p>
      <w:pPr>
        <w:pStyle w:val="Heading3"/>
        <w:spacing w:after="80" w:before="200"/>
      </w:pPr>
      <w:r>
        <w:t xml:space="preserve">Dedicated Markets Engineering Pod  (Ongoing)</w:t>
      </w:r>
    </w:p>
    <w:p>
      <w:pPr>
        <w:spacing w:after="140"/>
      </w:pPr>
      <w:r>
        <w:t xml:space="preserve">Embedded engineers for continuous platform development and new market category rollout.</w:t>
      </w:r>
    </w:p>
    <w:p>
      <w:pPr>
        <w:pStyle w:val="Heading2"/>
        <w:spacing w:after="130" w:before="320"/>
      </w:pPr>
      <w:r>
        <w:t xml:space="preserve">12. Proof in Production</w:t>
      </w:r>
    </w:p>
    <w:p>
      <w:pPr>
        <w:spacing w:after="140"/>
      </w:pPr>
      <w:r>
        <w:t xml:space="preserve">Pull the existing 'decentralized-options-market' portfolio piece as the closest available proof point, since options and prediction markets share meaningful overlap in oracle-based settlement design.</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How are ambiguous outcomes resolved fairly?</w:t>
      </w:r>
    </w:p>
    <w:p>
      <w:pPr>
        <w:spacing w:after="140"/>
      </w:pPr>
      <w:r>
        <w:t xml:space="preserve">Through a combination of oracle-based objective resolution for clear-cut events, and a community-dispute or arbitration fallback specifically designed for the genuinely ambiguous cases that inevitably arise — such as disputed election results or delayed sporting event outcomes. We design this escalation path before launch, not as a reactive fix after the first disputed market.</w:t>
      </w:r>
    </w:p>
    <w:p>
      <w:pPr>
        <w:pStyle w:val="Heading3"/>
        <w:spacing w:after="80" w:before="200"/>
      </w:pPr>
      <w:r>
        <w:t xml:space="preserve">What pricing model do you use for market odds?</w:t>
      </w:r>
    </w:p>
    <w:p>
      <w:pPr>
        <w:spacing w:after="140"/>
      </w:pPr>
      <w:r>
        <w:t xml:space="preserve">Typically LMSR (Logarithmic Market Scoring Rule) or a constant-function market maker, tuned to your expected market liquidity and the typical trading pattern of your target event categories — sports markets and election markets, for instance, often warrant different liquidity parameter choices given their different trading volume profiles over time.</w:t>
      </w:r>
    </w:p>
    <w:p>
      <w:pPr>
        <w:pStyle w:val="Heading3"/>
        <w:spacing w:after="80" w:before="200"/>
      </w:pPr>
      <w:r>
        <w:t xml:space="preserve">Can users create their own markets?</w:t>
      </w:r>
    </w:p>
    <w:p>
      <w:pPr>
        <w:spacing w:after="140"/>
      </w:pPr>
      <w:r>
        <w:t xml:space="preserve">Yes, we support both permissioned (curated, operator-approved) and permissionless market creation, depending on your platform's quality-control needs — fully permissionless creation offers more flexibility but requires stronger automated fraud and manipulation detection to maintain platform trust.</w:t>
      </w:r>
    </w:p>
    <w:p>
      <w:pPr>
        <w:pStyle w:val="Heading3"/>
        <w:spacing w:after="80" w:before="200"/>
      </w:pPr>
      <w:r>
        <w:t xml:space="preserve">What market categories can this support?</w:t>
      </w:r>
    </w:p>
    <w:p>
      <w:pPr>
        <w:spacing w:after="140"/>
      </w:pPr>
      <w:r>
        <w:t xml:space="preserve">Politics, sports, crypto prices, and custom event categories are all supported within the same underlying infrastructure, since the core trading and resolution engine is designed to be category-agnostic with category-specific oracle integrations layered on top.</w:t>
      </w:r>
    </w:p>
    <w:p>
      <w:pPr>
        <w:pStyle w:val="Heading3"/>
        <w:spacing w:after="80" w:before="200"/>
      </w:pPr>
      <w:r>
        <w:t xml:space="preserve">How do you prevent manipulation of low-liquidity markets?</w:t>
      </w:r>
    </w:p>
    <w:p>
      <w:pPr>
        <w:spacing w:after="140"/>
      </w:pPr>
      <w:r>
        <w:t xml:space="preserve">Through liquidity-aware pricing curves that make it progressively more expensive to move the price in thinly-traded markets, combined with position size limits and monitoring for wash-trading-style patterns that would otherwise let a single actor artificially manipulate a low-volume market's displayed odds.</w:t>
      </w:r>
    </w:p>
    <w:p>
      <w:pPr>
        <w:pStyle w:val="Heading3"/>
        <w:spacing w:after="80" w:before="200"/>
      </w:pPr>
      <w:r>
        <w:t xml:space="preserve">Can the platform integrate with real-time data feeds for sports or crypto markets?</w:t>
      </w:r>
    </w:p>
    <w:p>
      <w:pPr>
        <w:spacing w:after="140"/>
      </w:pPr>
      <w:r>
        <w:t xml:space="preserve">Yes — for markets with a clear, continuously verifiable data source (live sports scores, crypto asset prices), we integrate directly with relevant oracle feeds so the market can resolve automatically and immediately once the underlying data confirms the outcome.</w:t>
      </w:r>
    </w:p>
    <w:p>
      <w:pPr>
        <w:pStyle w:val="Heading2"/>
        <w:spacing w:after="130" w:before="320"/>
      </w:pPr>
      <w:r>
        <w:t xml:space="preserve">15. Closing CTA</w:t>
      </w:r>
    </w:p>
    <w:p>
      <w:pPr>
        <w:spacing w:after="140"/>
      </w:pPr>
      <w:r>
        <w:t xml:space="preserve">Ready to build a prediction market people actually trust when it matters most — at settlement?</w:t>
      </w:r>
    </w:p>
    <w:p>
      <w:pPr>
        <w:spacing w:after="160"/>
      </w:pPr>
      <w:r>
        <w:rPr>
          <w:i/>
          <w:iCs/>
        </w:rPr>
        <w:t xml:space="preserve">CTA Buttons: "Talk to a Markets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2026-08-03T14:07:07.399Z</dcterms:created>
  <dcterms:modified xsi:type="dcterms:W3CDTF">2026-08-03T14:07:07.399Z</dcterms:modified>
</cp:coreProperties>
</file>

<file path=docProps/custom.xml><?xml version="1.0" encoding="utf-8"?>
<Properties xmlns="http://schemas.openxmlformats.org/officeDocument/2006/custom-properties" xmlns:vt="http://schemas.openxmlformats.org/officeDocument/2006/docPropsVTypes"/>
</file>