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60"/>
      </w:pPr>
      <w:r>
        <w:t xml:space="preserve">Real-World Asset (RWA) Tokenization</w:t>
      </w:r>
    </w:p>
    <w:p>
      <w:pPr>
        <w:spacing w:after="160"/>
      </w:pPr>
      <w:r>
        <w:rPr>
          <w:i/>
          <w:iCs/>
        </w:rPr>
        <w:t xml:space="preserve">Suggested URL: quecko.com/services/web3/rwa-tokenization</w:t>
      </w:r>
    </w:p>
    <w:p>
      <w:pPr>
        <w:spacing w:after="100"/>
      </w:pPr>
      <w:r>
        <w:rPr>
          <w:b/>
          <w:bCs/>
        </w:rPr>
        <w:t xml:space="preserve">Meta Title: </w:t>
      </w:r>
      <w:r>
        <w:t xml:space="preserve">Real-World Asset Tokenization Services | Quecko</w:t>
      </w:r>
    </w:p>
    <w:p>
      <w:pPr>
        <w:spacing w:after="100"/>
      </w:pPr>
      <w:r>
        <w:rPr>
          <w:b/>
          <w:bCs/>
        </w:rPr>
        <w:t xml:space="preserve">Meta Description: </w:t>
      </w:r>
      <w:r>
        <w:t xml:space="preserve">Quecko tokenizes real-world assets — real estate, funds, and commodities — with compliant transfer restrictions, custody integration, and investor onboarding.</w:t>
      </w:r>
    </w:p>
    <w:p>
      <w:pPr>
        <w:spacing w:after="100"/>
      </w:pPr>
      <w:r>
        <w:rPr>
          <w:b/>
          <w:bCs/>
        </w:rPr>
        <w:t xml:space="preserve">One-Line Positioning: </w:t>
      </w:r>
      <w:r>
        <w:t xml:space="preserve">Tokens with a legally enforceable claim behind them, not just a symbolic wrapper.</w:t>
      </w:r>
    </w:p>
    <w:p>
      <w:pPr>
        <w:pBdr>
          <w:bottom w:val="single" w:color="999999" w:sz="6" w:space="1"/>
        </w:pBdr>
        <w:spacing w:after="220"/>
      </w:pPr>
    </w:p>
    <w:p>
      <w:pPr>
        <w:pStyle w:val="Heading2"/>
        <w:spacing w:after="130" w:before="320"/>
      </w:pPr>
      <w:r>
        <w:t xml:space="preserve">Developer Build Spec — Page Layout &amp; Section Order</w:t>
      </w:r>
    </w:p>
    <w:p>
      <w:pPr>
        <w:spacing w:after="140"/>
      </w:pPr>
      <w:r>
        <w:t xml:space="preserve">This is the full section order for this page, top to bottom, with layout and component notes for each. Content for every section below follows in the same order.</w:t>
      </w:r>
    </w:p>
    <w:p>
      <w:pPr>
        <w:pStyle w:val="Heading3"/>
        <w:spacing w:after="80" w:before="200"/>
      </w:pPr>
      <w:r>
        <w:t xml:space="preserve">1. Hero</w:t>
      </w:r>
    </w:p>
    <w:p>
      <w:pPr>
        <w:spacing w:after="140"/>
      </w:pPr>
      <w:r>
        <w:t xml:space="preserve">Full-bleed background (video loop or a transformation animation — a stylized building/gold bar/fund document morphing smoothly into a glowing token). Headline (2 rotating/A-B testable variants provided below), one-line subhead, dual CTA buttons, and the standard 4-stat ticker row underneath.</w:t>
      </w:r>
    </w:p>
    <w:p>
      <w:pPr>
        <w:pStyle w:val="Heading3"/>
        <w:spacing w:after="80" w:before="200"/>
      </w:pPr>
      <w:r>
        <w:t xml:space="preserve">2. Wall Street Meets the Blockchain</w:t>
      </w:r>
    </w:p>
    <w:p>
      <w:pPr>
        <w:spacing w:after="140"/>
      </w:pPr>
      <w:r>
        <w:t xml:space="preserve">Split two-column layout — text block on the left, a large single stat or lightweight animated icon on the right. Short section (150–200 words), sets context before the problem statement. Not a repeat of the hero.</w:t>
      </w:r>
    </w:p>
    <w:p>
      <w:pPr>
        <w:pStyle w:val="Heading3"/>
        <w:spacing w:after="80" w:before="200"/>
      </w:pPr>
      <w:r>
        <w:t xml:space="preserve">3. Why Most 'Tokenized Assets' Aren't Legally Real</w:t>
      </w:r>
    </w:p>
    <w:p>
      <w:pPr>
        <w:spacing w:after="140"/>
      </w:pPr>
      <w:r>
        <w:t xml:space="preserve">Centered narrative paragraph, followed by a two-column "Old Way vs. Quecko Way" comparison list — undefined</w:t>
      </w:r>
    </w:p>
    <w:p>
      <w:pPr>
        <w:pStyle w:val="Heading3"/>
        <w:spacing w:after="80" w:before="200"/>
      </w:pPr>
      <w:r>
        <w:t xml:space="preserve">4. From Legal Wrapper to Investor Onboarding</w:t>
      </w:r>
    </w:p>
    <w:p>
      <w:pPr>
        <w:spacing w:after="140"/>
      </w:pPr>
      <w:r>
        <w:t xml:space="preserve">Horizontal scroll-triggered stepper/timeline component (5 steps) — reuse the existing numbered-step animation pattern from the Layer 1/2 and DeFi pages, extended from 4 to 5 steps.</w:t>
      </w:r>
    </w:p>
    <w:p>
      <w:pPr>
        <w:pStyle w:val="Heading3"/>
        <w:spacing w:after="80" w:before="200"/>
      </w:pPr>
      <w:r>
        <w:t xml:space="preserve">5. Capabilities</w:t>
      </w:r>
    </w:p>
    <w:p>
      <w:pPr>
        <w:spacing w:after="140"/>
      </w:pPr>
      <w:r>
        <w:t xml:space="preserve">6–8 card grid, same visual pattern as existing site cards, but add a small custom icon per card (not just text) — this is the single biggest 'empty space' fix across all 13 pages.</w:t>
      </w:r>
    </w:p>
    <w:p>
      <w:pPr>
        <w:pStyle w:val="Heading3"/>
        <w:spacing w:after="80" w:before="200"/>
      </w:pPr>
      <w:r>
        <w:t xml:space="preserve">6. Compliance Benchmarks We Build To</w:t>
      </w:r>
    </w:p>
    <w:p>
      <w:pPr>
        <w:spacing w:after="140"/>
      </w:pPr>
      <w:r>
        <w:t xml:space="preserve">Horizontal strip of 4 large-numeral stat callouts with a one-line caption under each — visually distinct from the hero stat ticker (different styling/weight), positioned as a mid-page credibility break.</w:t>
      </w:r>
    </w:p>
    <w:p>
      <w:pPr>
        <w:pStyle w:val="Heading3"/>
        <w:spacing w:after="80" w:before="200"/>
      </w:pPr>
      <w:r>
        <w:t xml:space="preserve">7. Ecosystem / Chain Coverage</w:t>
      </w:r>
    </w:p>
    <w:p>
      <w:pPr>
        <w:spacing w:after="140"/>
      </w:pPr>
      <w:r>
        <w:t xml:space="preserve">Logo grid matching the existing Layer 1/2 page pattern — this section is currently missing on several pages and is a direct fix for empty space.</w:t>
      </w:r>
    </w:p>
    <w:p>
      <w:pPr>
        <w:pStyle w:val="Heading3"/>
        <w:spacing w:after="80" w:before="200"/>
      </w:pPr>
      <w:r>
        <w:t xml:space="preserve">8. Technology Stack</w:t>
      </w:r>
    </w:p>
    <w:p>
      <w:pPr>
        <w:spacing w:after="140"/>
      </w:pPr>
      <w:r>
        <w:t xml:space="preserve">Grouped icon list by category, same pattern as the existing Layer 1/2 page's Technology section.</w:t>
      </w:r>
    </w:p>
    <w:p>
      <w:pPr>
        <w:pStyle w:val="Heading3"/>
        <w:spacing w:after="80" w:before="200"/>
      </w:pPr>
      <w:r>
        <w:t xml:space="preserve">9. Where Tokenization Projects Collapse Legally</w:t>
      </w:r>
    </w:p>
    <w:p>
      <w:pPr>
        <w:spacing w:after="140"/>
      </w:pPr>
      <w:r>
        <w:t xml:space="preserve">Icon-list or accordion component — undefined This is new content not currently on the site; treat it as a trust/credibility section, positioned right before the differentiators section.</w:t>
      </w:r>
    </w:p>
    <w:p>
      <w:pPr>
        <w:pStyle w:val="Heading3"/>
        <w:spacing w:after="80" w:before="200"/>
      </w:pPr>
      <w:r>
        <w:t xml:space="preserve">10. Why Institutions Choose Quecko</w:t>
      </w:r>
    </w:p>
    <w:p>
      <w:pPr>
        <w:spacing w:after="140"/>
      </w:pPr>
      <w:r>
        <w:t xml:space="preserve">4-card differentiator grid, same pattern as existing 'Our Edge' section.</w:t>
      </w:r>
    </w:p>
    <w:p>
      <w:pPr>
        <w:pStyle w:val="Heading3"/>
        <w:spacing w:after="80" w:before="200"/>
      </w:pPr>
      <w:r>
        <w:t xml:space="preserve">11. Engagement Models</w:t>
      </w:r>
    </w:p>
    <w:p>
      <w:pPr>
        <w:spacing w:after="140"/>
      </w:pPr>
      <w:r>
        <w:t xml:space="preserve">3-card grid — add an indicative timeframe/format badge on each card (e.g. '8–12 weeks', 'Ongoing retainer') since this detail is currently missing site-wide and buyers look for it immediately.</w:t>
      </w:r>
    </w:p>
    <w:p>
      <w:pPr>
        <w:pStyle w:val="Heading3"/>
        <w:spacing w:after="80" w:before="200"/>
      </w:pPr>
      <w:r>
        <w:t xml:space="preserve">12. Proof in Production</w:t>
      </w:r>
    </w:p>
    <w:p>
      <w:pPr>
        <w:spacing w:after="140"/>
      </w:pPr>
      <w:r>
        <w:t xml:space="preserve">Reuse the existing portfolio video-grid component, filtered to the most relevant 2–4 projects for this specific service — do not fabricate a case study; pull from the real portfolio library.</w:t>
      </w:r>
    </w:p>
    <w:p>
      <w:pPr>
        <w:pStyle w:val="Heading3"/>
        <w:spacing w:after="80" w:before="200"/>
      </w:pPr>
      <w:r>
        <w:t xml:space="preserve">13. Testimonial</w:t>
      </w:r>
    </w:p>
    <w:p>
      <w:pPr>
        <w:spacing w:after="140"/>
      </w:pPr>
      <w:r>
        <w:t xml:space="preserve">Reuse the existing testimonial video/quote component as-is.</w:t>
      </w:r>
    </w:p>
    <w:p>
      <w:pPr>
        <w:pStyle w:val="Heading3"/>
        <w:spacing w:after="80" w:before="200"/>
      </w:pPr>
      <w:r>
        <w:t xml:space="preserve">14. FAQ</w:t>
      </w:r>
    </w:p>
    <w:p>
      <w:pPr>
        <w:spacing w:after="140"/>
      </w:pPr>
      <w:r>
        <w:t xml:space="preserve">Accordion component, same pattern as existing FAQ sections, expanded to 6 questions with deeper answers (provided below).</w:t>
      </w:r>
    </w:p>
    <w:p>
      <w:pPr>
        <w:pStyle w:val="Heading3"/>
        <w:spacing w:after="80" w:before="200"/>
      </w:pPr>
      <w:r>
        <w:t xml:space="preserve">15. Closing CTA</w:t>
      </w:r>
    </w:p>
    <w:p>
      <w:pPr>
        <w:spacing w:after="140"/>
      </w:pPr>
      <w:r>
        <w:t xml:space="preserve">Standard closing banner with the two CTA variants provided below.</w:t>
      </w:r>
    </w:p>
    <w:p>
      <w:pPr>
        <w:pBdr>
          <w:bottom w:val="single" w:color="999999" w:sz="6" w:space="1"/>
        </w:pBdr>
        <w:spacing w:after="220"/>
      </w:pPr>
    </w:p>
    <w:p>
      <w:pPr>
        <w:pStyle w:val="Heading2"/>
        <w:spacing w:after="130" w:before="320"/>
      </w:pPr>
      <w:r>
        <w:t xml:space="preserve">1. Hero</w:t>
      </w:r>
    </w:p>
    <w:p>
      <w:pPr>
        <w:pStyle w:val="Heading3"/>
        <w:spacing w:after="80" w:before="200"/>
      </w:pPr>
      <w:r>
        <w:t xml:space="preserve">Headline — Option A</w:t>
      </w:r>
    </w:p>
    <w:p>
      <w:pPr>
        <w:spacing w:after="140"/>
      </w:pPr>
      <w:r>
        <w:t xml:space="preserve">A Token Is Only as Real as the Asset Legally Behind It.</w:t>
      </w:r>
    </w:p>
    <w:p>
      <w:pPr>
        <w:pStyle w:val="Heading3"/>
        <w:spacing w:after="80" w:before="200"/>
      </w:pPr>
      <w:r>
        <w:t xml:space="preserve">Headline — Option B</w:t>
      </w:r>
    </w:p>
    <w:p>
      <w:pPr>
        <w:spacing w:after="140"/>
      </w:pPr>
      <w:r>
        <w:t xml:space="preserve">Wall Street Structure. Blockchain Settlement.</w:t>
      </w:r>
    </w:p>
    <w:p>
      <w:pPr>
        <w:pStyle w:val="Heading3"/>
        <w:spacing w:after="80" w:before="200"/>
      </w:pPr>
      <w:r>
        <w:t xml:space="preserve">Subheadline</w:t>
      </w:r>
    </w:p>
    <w:p>
      <w:pPr>
        <w:spacing w:after="140"/>
      </w:pPr>
      <w:r>
        <w:t xml:space="preserve">Quecko tokenizes real-world assets — real estate, investment funds, and commodities — building compliant token structures with built-in transfer restrictions, custodian integration, and investor onboarding infrastructure that holds up to real legal scrutiny.</w:t>
      </w:r>
    </w:p>
    <w:p>
      <w:pPr>
        <w:spacing w:after="160"/>
      </w:pPr>
      <w:r>
        <w:rPr>
          <w:i/>
          <w:iCs/>
        </w:rPr>
        <w:t xml:space="preserve">CTA Buttons: "Talk to a Tokenization Engineer"  /  "Explore Our Work"</w:t>
      </w:r>
    </w:p>
    <w:p>
      <w:pPr>
        <w:spacing w:after="140"/>
      </w:pPr>
      <w:r>
        <w:t xml:space="preserve">Stat ticker (standard, reused site-wide): 400+ clients across 20+ countries · $300M+ in funds generated · 250+ products built · 150+ engineers worldwide</w:t>
      </w:r>
    </w:p>
    <w:p>
      <w:pPr>
        <w:pStyle w:val="Heading2"/>
        <w:spacing w:after="130" w:before="320"/>
      </w:pPr>
      <w:r>
        <w:t xml:space="preserve">2. Wall Street Meets the Blockchain</w:t>
      </w:r>
    </w:p>
    <w:p>
      <w:pPr>
        <w:spacing w:after="140"/>
      </w:pPr>
      <w:r>
        <w:t xml:space="preserve">Institutional interest in tokenized real-world assets has moved from experimental pilot programs to genuine allocation strategy, as major asset managers and banks explore tokenized funds and treasuries as a way to unlock 24/7 settlement and fractional ownership without abandoning existing regulatory frameworks. The organizations succeeding here aren't the ones treating tokenization as a marketing exercise — they're the ones building token structures with the same legal rigor as a traditional securities offering, just settled on a different rail.</w:t>
      </w:r>
    </w:p>
    <w:p>
      <w:pPr>
        <w:pStyle w:val="Heading2"/>
        <w:spacing w:after="130" w:before="320"/>
      </w:pPr>
      <w:r>
        <w:t xml:space="preserve">3. Why Most 'Tokenized Assets' Aren't Legally Real</w:t>
      </w:r>
    </w:p>
    <w:p>
      <w:pPr>
        <w:spacing w:after="140"/>
      </w:pPr>
      <w:r>
        <w:t xml:space="preserve">Tokenizing a real-world asset isn't just wrapping it in an ERC-20 contract and calling it done — the token has to actually enforce securities-law transfer restrictions, integrate with a real custodian or transfer agent, and maintain a legally defensible link between the on-chain token and the underlying legal ownership record. A large share of early 'tokenized real estate' and similar projects amounted to little more than a symbolic token with no enforceable legal claim behind it — impressive on a pitch deck, worthless the moment an investor actually needed to exercise their ownership rights.</w:t>
      </w:r>
    </w:p>
    <w:p>
      <w:pPr>
        <w:pStyle w:val="Heading3"/>
        <w:spacing w:after="80" w:before="200"/>
      </w:pPr>
      <w:r>
        <w:t xml:space="preserve">The Old Way</w:t>
      </w:r>
    </w:p>
    <w:p>
      <w:pPr>
        <w:pStyle w:val="ListParagraph"/>
        <w:numPr>
          <w:ilvl w:val="0"/>
          <w:numId w:val="2"/>
        </w:numPr>
        <w:spacing w:after="70"/>
      </w:pPr>
      <w:r>
        <w:t xml:space="preserve">Wrap the asset in a standard ERC-20 with no transfer restrictions or legal wrapper</w:t>
      </w:r>
    </w:p>
    <w:p>
      <w:pPr>
        <w:pStyle w:val="ListParagraph"/>
        <w:numPr>
          <w:ilvl w:val="0"/>
          <w:numId w:val="2"/>
        </w:numPr>
        <w:spacing w:after="70"/>
      </w:pPr>
      <w:r>
        <w:t xml:space="preserve">Skip custodian or transfer agent integration entirely</w:t>
      </w:r>
    </w:p>
    <w:p>
      <w:pPr>
        <w:pStyle w:val="ListParagraph"/>
        <w:numPr>
          <w:ilvl w:val="0"/>
          <w:numId w:val="2"/>
        </w:numPr>
        <w:spacing w:after="70"/>
      </w:pPr>
      <w:r>
        <w:t xml:space="preserve">Treat KYC as a simple checkbox rather than a jurisdiction-specific gating mechanism</w:t>
      </w:r>
    </w:p>
    <w:p>
      <w:pPr>
        <w:pStyle w:val="ListParagraph"/>
        <w:numPr>
          <w:ilvl w:val="0"/>
          <w:numId w:val="2"/>
        </w:numPr>
        <w:spacing w:after="70"/>
      </w:pPr>
      <w:r>
        <w:t xml:space="preserve">Launch without a clear legal answer to 'what does the token holder actually own?'</w:t>
      </w:r>
    </w:p>
    <w:p>
      <w:pPr>
        <w:pStyle w:val="Heading3"/>
        <w:spacing w:after="80" w:before="200"/>
      </w:pPr>
      <w:r>
        <w:t xml:space="preserve">The Quecko Way</w:t>
      </w:r>
    </w:p>
    <w:p>
      <w:pPr>
        <w:pStyle w:val="ListParagraph"/>
        <w:numPr>
          <w:ilvl w:val="0"/>
          <w:numId w:val="2"/>
        </w:numPr>
        <w:spacing w:after="70"/>
      </w:pPr>
      <w:r>
        <w:t xml:space="preserve">Structure a proper legal wrapper (typically an SPV) before any token is minted</w:t>
      </w:r>
    </w:p>
    <w:p>
      <w:pPr>
        <w:pStyle w:val="ListParagraph"/>
        <w:numPr>
          <w:ilvl w:val="0"/>
          <w:numId w:val="2"/>
        </w:numPr>
        <w:spacing w:after="70"/>
      </w:pPr>
      <w:r>
        <w:t xml:space="preserve">Integrate directly with a custodian or transfer agent maintaining the authoritative ownership record</w:t>
      </w:r>
    </w:p>
    <w:p>
      <w:pPr>
        <w:pStyle w:val="ListParagraph"/>
        <w:numPr>
          <w:ilvl w:val="0"/>
          <w:numId w:val="2"/>
        </w:numPr>
        <w:spacing w:after="70"/>
      </w:pPr>
      <w:r>
        <w:t xml:space="preserve">Build permissioned, whitelist-based transfer restrictions directly into the token standard</w:t>
      </w:r>
    </w:p>
    <w:p>
      <w:pPr>
        <w:pStyle w:val="ListParagraph"/>
        <w:numPr>
          <w:ilvl w:val="0"/>
          <w:numId w:val="2"/>
        </w:numPr>
        <w:spacing w:after="70"/>
      </w:pPr>
      <w:r>
        <w:t xml:space="preserve">Define and document the token holder's legal claim clearly before investor onboarding begins</w:t>
      </w:r>
    </w:p>
    <w:p>
      <w:pPr>
        <w:pStyle w:val="Heading2"/>
        <w:spacing w:after="130" w:before="320"/>
      </w:pPr>
      <w:r>
        <w:t xml:space="preserve">4. From Legal Wrapper to Investor Onboarding</w:t>
      </w:r>
    </w:p>
    <w:p>
      <w:pPr>
        <w:spacing w:after="60" w:before="160"/>
      </w:pPr>
      <w:r>
        <w:rPr>
          <w:b/>
          <w:bCs/>
          <w:sz w:val="24"/>
          <w:szCs w:val="24"/>
        </w:rPr>
        <w:t xml:space="preserve">1. Asset &amp; Structure Design</w:t>
      </w:r>
    </w:p>
    <w:p>
      <w:pPr>
        <w:spacing w:after="140"/>
      </w:pPr>
      <w:r>
        <w:t xml:space="preserve">Define the legal wrapper (SPV, fund structure), transfer restriction rules, and target jurisdiction for the tokenized asset in close coordination with legal counsel before any technical work begins.</w:t>
      </w:r>
    </w:p>
    <w:p>
      <w:pPr>
        <w:spacing w:after="60" w:before="160"/>
      </w:pPr>
      <w:r>
        <w:rPr>
          <w:b/>
          <w:bCs/>
          <w:sz w:val="24"/>
          <w:szCs w:val="24"/>
        </w:rPr>
        <w:t xml:space="preserve">2. Token &amp; Compliance Engineering</w:t>
      </w:r>
    </w:p>
    <w:p>
      <w:pPr>
        <w:spacing w:after="140"/>
      </w:pPr>
      <w:r>
        <w:t xml:space="preserve">Build permissioned token contracts (such as ERC-3643 or an equivalent compliant standard) enforcing KYC-gated, whitelist-based transfers rather than open, unrestricted transferability.</w:t>
      </w:r>
    </w:p>
    <w:p>
      <w:pPr>
        <w:spacing w:after="60" w:before="160"/>
      </w:pPr>
      <w:r>
        <w:rPr>
          <w:b/>
          <w:bCs/>
          <w:sz w:val="24"/>
          <w:szCs w:val="24"/>
        </w:rPr>
        <w:t xml:space="preserve">3. Custody &amp; Registry Integration</w:t>
      </w:r>
    </w:p>
    <w:p>
      <w:pPr>
        <w:spacing w:after="140"/>
      </w:pPr>
      <w:r>
        <w:t xml:space="preserve">Integrate with a custodian or transfer agent maintaining the legal record of ownership tied to the token, so the on-chain record and the legal record never diverge.</w:t>
      </w:r>
    </w:p>
    <w:p>
      <w:pPr>
        <w:spacing w:after="60" w:before="160"/>
      </w:pPr>
      <w:r>
        <w:rPr>
          <w:b/>
          <w:bCs/>
          <w:sz w:val="24"/>
          <w:szCs w:val="24"/>
        </w:rPr>
        <w:t xml:space="preserve">4. Investor Onboarding Platform Build</w:t>
      </w:r>
    </w:p>
    <w:p>
      <w:pPr>
        <w:spacing w:after="140"/>
      </w:pPr>
      <w:r>
        <w:t xml:space="preserve">Build a KYC/accreditation-gated investor onboarding platform controlling access to the tokenized offering per applicable jurisdiction and investor eligibility rules.</w:t>
      </w:r>
    </w:p>
    <w:p>
      <w:pPr>
        <w:spacing w:after="60" w:before="160"/>
      </w:pPr>
      <w:r>
        <w:rPr>
          <w:b/>
          <w:bCs/>
          <w:sz w:val="24"/>
          <w:szCs w:val="24"/>
        </w:rPr>
        <w:t xml:space="preserve">5. Issuance &amp; Secondary Market Launch</w:t>
      </w:r>
    </w:p>
    <w:p>
      <w:pPr>
        <w:spacing w:after="140"/>
      </w:pPr>
      <w:r>
        <w:t xml:space="preserve">Primary issuance to onboarded investors, followed by secondary market trading support where permitted under the applicable regulatory structure.</w:t>
      </w:r>
    </w:p>
    <w:p>
      <w:pPr>
        <w:pStyle w:val="Heading2"/>
        <w:spacing w:after="130" w:before="320"/>
      </w:pPr>
      <w:r>
        <w:t xml:space="preserve">5. Capabilities</w:t>
      </w:r>
    </w:p>
    <w:p>
      <w:pPr>
        <w:pStyle w:val="Heading3"/>
        <w:spacing w:after="80" w:before="200"/>
      </w:pPr>
      <w:r>
        <w:t xml:space="preserve">Real Estate Tokenization</w:t>
      </w:r>
    </w:p>
    <w:p>
      <w:pPr>
        <w:spacing w:after="140"/>
      </w:pPr>
      <w:r>
        <w:t xml:space="preserve">Fractional ownership tokens for property assets, with rental income distribution mechanics and transfer restriction enforcement matched to the property's specific offering structure.</w:t>
      </w:r>
    </w:p>
    <w:p>
      <w:pPr>
        <w:pStyle w:val="Heading3"/>
        <w:spacing w:after="80" w:before="200"/>
      </w:pPr>
      <w:r>
        <w:t xml:space="preserve">Fund Tokenization</w:t>
      </w:r>
    </w:p>
    <w:p>
      <w:pPr>
        <w:spacing w:after="140"/>
      </w:pPr>
      <w:r>
        <w:t xml:space="preserve">Tokenized fund shares with automated NAV updates, subscription/redemption workflows, and investor reporting built to satisfy both fund administrators and regulators.</w:t>
      </w:r>
    </w:p>
    <w:p>
      <w:pPr>
        <w:pStyle w:val="Heading3"/>
        <w:spacing w:after="80" w:before="200"/>
      </w:pPr>
      <w:r>
        <w:t xml:space="preserve">Commodity Tokenization</w:t>
      </w:r>
    </w:p>
    <w:p>
      <w:pPr>
        <w:spacing w:after="140"/>
      </w:pPr>
      <w:r>
        <w:t xml:space="preserve">Gold and other commodity-backed tokens with custodian-verified reserve attestation, so token holders have a credible, auditable claim on physical reserves.</w:t>
      </w:r>
    </w:p>
    <w:p>
      <w:pPr>
        <w:pStyle w:val="Heading3"/>
        <w:spacing w:after="80" w:before="200"/>
      </w:pPr>
      <w:r>
        <w:t xml:space="preserve">Permissioned Token Standards</w:t>
      </w:r>
    </w:p>
    <w:p>
      <w:pPr>
        <w:spacing w:after="140"/>
      </w:pPr>
      <w:r>
        <w:t xml:space="preserve">ERC-3643 and equivalent compliant token standards enforcing whitelist-based, KYC-gated transfers directly on-chain, rather than relying on an off-chain compliance layer that can be bypassed.</w:t>
      </w:r>
    </w:p>
    <w:p>
      <w:pPr>
        <w:pStyle w:val="Heading3"/>
        <w:spacing w:after="80" w:before="200"/>
      </w:pPr>
      <w:r>
        <w:t xml:space="preserve">Investor Onboarding Platforms</w:t>
      </w:r>
    </w:p>
    <w:p>
      <w:pPr>
        <w:spacing w:after="140"/>
      </w:pPr>
      <w:r>
        <w:t xml:space="preserve">KYC/accreditation verification flows gating access to tokenized offerings per jurisdiction, ensuring only eligible investors can ever hold or receive the token.</w:t>
      </w:r>
    </w:p>
    <w:p>
      <w:pPr>
        <w:pStyle w:val="Heading3"/>
        <w:spacing w:after="80" w:before="200"/>
      </w:pPr>
      <w:r>
        <w:t xml:space="preserve">Secondary Market Infrastructure</w:t>
      </w:r>
    </w:p>
    <w:p>
      <w:pPr>
        <w:spacing w:after="140"/>
      </w:pPr>
      <w:r>
        <w:t xml:space="preserve">Compliant secondary trading venues or Alternative Trading System (ATS) integration for permitted resale of tokenized assets where the underlying structure allows it.</w:t>
      </w:r>
    </w:p>
    <w:p>
      <w:pPr>
        <w:pStyle w:val="Heading2"/>
        <w:spacing w:after="130" w:before="320"/>
      </w:pPr>
      <w:r>
        <w:t xml:space="preserve">6. Compliance Benchmarks We Build To</w:t>
      </w:r>
    </w:p>
    <w:p>
      <w:pPr>
        <w:pStyle w:val="ListParagraph"/>
        <w:numPr>
          <w:ilvl w:val="0"/>
          <w:numId w:val="2"/>
        </w:numPr>
        <w:spacing w:after="80"/>
      </w:pPr>
      <w:r>
        <w:rPr>
          <w:b/>
          <w:bCs/>
        </w:rPr>
        <w:t xml:space="preserve">Legal wrapper before minting — </w:t>
      </w:r>
      <w:r>
        <w:t xml:space="preserve">as a non-negotiable step, coordinated directly with our Legal Structuring team</w:t>
      </w:r>
    </w:p>
    <w:p>
      <w:pPr>
        <w:pStyle w:val="ListParagraph"/>
        <w:numPr>
          <w:ilvl w:val="0"/>
          <w:numId w:val="2"/>
        </w:numPr>
        <w:spacing w:after="80"/>
      </w:pPr>
      <w:r>
        <w:rPr>
          <w:b/>
          <w:bCs/>
        </w:rPr>
        <w:t xml:space="preserve">On-chain transfer restriction — </w:t>
      </w:r>
      <w:r>
        <w:t xml:space="preserve">enforced at the token level, not left to an easily-bypassed off-chain process</w:t>
      </w:r>
    </w:p>
    <w:p>
      <w:pPr>
        <w:pStyle w:val="ListParagraph"/>
        <w:numPr>
          <w:ilvl w:val="0"/>
          <w:numId w:val="2"/>
        </w:numPr>
        <w:spacing w:after="80"/>
      </w:pPr>
      <w:r>
        <w:rPr>
          <w:b/>
          <w:bCs/>
        </w:rPr>
        <w:t xml:space="preserve">Custodian-integrated by design — </w:t>
      </w:r>
      <w:r>
        <w:t xml:space="preserve">ownership record never diverges between the token and the legal registry</w:t>
      </w:r>
    </w:p>
    <w:p>
      <w:pPr>
        <w:pStyle w:val="ListParagraph"/>
        <w:numPr>
          <w:ilvl w:val="0"/>
          <w:numId w:val="2"/>
        </w:numPr>
        <w:spacing w:after="80"/>
      </w:pPr>
      <w:r>
        <w:rPr>
          <w:b/>
          <w:bCs/>
        </w:rPr>
        <w:t xml:space="preserve">Jurisdiction-specific onboarding — </w:t>
      </w:r>
      <w:r>
        <w:t xml:space="preserve">investor eligibility gated per applicable regulatory regime, not a one-size-fits-all form</w:t>
      </w:r>
    </w:p>
    <w:p>
      <w:pPr>
        <w:pStyle w:val="Heading2"/>
        <w:spacing w:after="130" w:before="320"/>
      </w:pPr>
      <w:r>
        <w:t xml:space="preserve">7. Ecosystem / Chain Coverage</w:t>
      </w:r>
    </w:p>
    <w:p>
      <w:pPr>
        <w:pStyle w:val="ListParagraph"/>
        <w:numPr>
          <w:ilvl w:val="0"/>
          <w:numId w:val="2"/>
        </w:numPr>
        <w:spacing w:after="80"/>
      </w:pPr>
      <w:r>
        <w:rPr>
          <w:b/>
          <w:bCs/>
        </w:rPr>
        <w:t xml:space="preserve">Ethereum &amp; L2s — </w:t>
      </w:r>
      <w:r>
        <w:t xml:space="preserve">Primary deployment target for permissioned RWA token standards.</w:t>
      </w:r>
    </w:p>
    <w:p>
      <w:pPr>
        <w:pStyle w:val="ListParagraph"/>
        <w:numPr>
          <w:ilvl w:val="0"/>
          <w:numId w:val="2"/>
        </w:numPr>
        <w:spacing w:after="80"/>
      </w:pPr>
      <w:r>
        <w:rPr>
          <w:b/>
          <w:bCs/>
        </w:rPr>
        <w:t xml:space="preserve">Polygon — </w:t>
      </w:r>
      <w:r>
        <w:t xml:space="preserve">Lower-cost deployment for high-frequency distribution or dividend payments.</w:t>
      </w:r>
    </w:p>
    <w:p>
      <w:pPr>
        <w:pStyle w:val="ListParagraph"/>
        <w:numPr>
          <w:ilvl w:val="0"/>
          <w:numId w:val="2"/>
        </w:numPr>
        <w:spacing w:after="80"/>
      </w:pPr>
      <w:r>
        <w:rPr>
          <w:b/>
          <w:bCs/>
        </w:rPr>
        <w:t xml:space="preserve">Permissioned/private chains — </w:t>
      </w:r>
      <w:r>
        <w:t xml:space="preserve">For institutional deployments requiring restricted network access and additional privacy.</w:t>
      </w:r>
    </w:p>
    <w:p>
      <w:pPr>
        <w:pStyle w:val="Heading2"/>
        <w:spacing w:after="130" w:before="320"/>
      </w:pPr>
      <w:r>
        <w:t xml:space="preserve">8. Technology Stack</w:t>
      </w:r>
    </w:p>
    <w:p>
      <w:pPr>
        <w:pStyle w:val="Heading3"/>
        <w:spacing w:after="80" w:before="200"/>
      </w:pPr>
      <w:r>
        <w:t xml:space="preserve">Token Standards</w:t>
      </w:r>
    </w:p>
    <w:p>
      <w:pPr>
        <w:spacing w:after="140"/>
      </w:pPr>
      <w:r>
        <w:t xml:space="preserve">ERC-3643 (permissioned tokens), ERC-1400 equivalent security token frameworks</w:t>
      </w:r>
    </w:p>
    <w:p>
      <w:pPr>
        <w:pStyle w:val="Heading3"/>
        <w:spacing w:after="80" w:before="200"/>
      </w:pPr>
      <w:r>
        <w:t xml:space="preserve">Smart Contracts</w:t>
      </w:r>
    </w:p>
    <w:p>
      <w:pPr>
        <w:spacing w:after="140"/>
      </w:pPr>
      <w:r>
        <w:t xml:space="preserve">Solidity</w:t>
      </w:r>
    </w:p>
    <w:p>
      <w:pPr>
        <w:pStyle w:val="Heading3"/>
        <w:spacing w:after="80" w:before="200"/>
      </w:pPr>
      <w:r>
        <w:t xml:space="preserve">Identity/KYC</w:t>
      </w:r>
    </w:p>
    <w:p>
      <w:pPr>
        <w:spacing w:after="140"/>
      </w:pPr>
      <w:r>
        <w:t xml:space="preserve">On-chain identity registries, Off-chain KYC provider integration</w:t>
      </w:r>
    </w:p>
    <w:p>
      <w:pPr>
        <w:pStyle w:val="Heading3"/>
        <w:spacing w:after="80" w:before="200"/>
      </w:pPr>
      <w:r>
        <w:t xml:space="preserve">Infrastructure</w:t>
      </w:r>
    </w:p>
    <w:p>
      <w:pPr>
        <w:spacing w:after="140"/>
      </w:pPr>
      <w:r>
        <w:t xml:space="preserve">Custodian/transfer agent APIs, Oracle-based NAV feeds</w:t>
      </w:r>
    </w:p>
    <w:p>
      <w:pPr>
        <w:pStyle w:val="Heading2"/>
        <w:spacing w:after="130" w:before="320"/>
      </w:pPr>
      <w:r>
        <w:t xml:space="preserve">9. Where Tokenization Projects Collapse Legally</w:t>
      </w:r>
    </w:p>
    <w:p>
      <w:pPr>
        <w:pStyle w:val="Heading3"/>
        <w:spacing w:after="80" w:before="200"/>
      </w:pPr>
      <w:r>
        <w:t xml:space="preserve">No Enforceable Legal Claim Behind the Token</w:t>
      </w:r>
    </w:p>
    <w:p>
      <w:pPr>
        <w:spacing w:after="140"/>
      </w:pPr>
      <w:r>
        <w:t xml:space="preserve">A token with no legal wrapper or custodian agreement behind it gives holders essentially nothing enforceable if the issuer disappears. We treat the legal structure as the foundation, not an afterthought layered on top of a finished token contract.</w:t>
      </w:r>
    </w:p>
    <w:p>
      <w:pPr>
        <w:pStyle w:val="Heading3"/>
        <w:spacing w:after="80" w:before="200"/>
      </w:pPr>
      <w:r>
        <w:t xml:space="preserve">Transfer Restrictions Enforced Off-Chain Only</w:t>
      </w:r>
    </w:p>
    <w:p>
      <w:pPr>
        <w:spacing w:after="140"/>
      </w:pPr>
      <w:r>
        <w:t xml:space="preserve">Relying on an off-chain compliance process to prevent restricted transfers means the restriction can be bypassed the moment someone transfers the token directly, peer-to-peer. We enforce restrictions at the smart contract level so non-compliant transfers simply fail.</w:t>
      </w:r>
    </w:p>
    <w:p>
      <w:pPr>
        <w:pStyle w:val="Heading3"/>
        <w:spacing w:after="80" w:before="200"/>
      </w:pPr>
      <w:r>
        <w:t xml:space="preserve">Diverging On-Chain and Legal Ownership Records</w:t>
      </w:r>
    </w:p>
    <w:p>
      <w:pPr>
        <w:spacing w:after="140"/>
      </w:pPr>
      <w:r>
        <w:t xml:space="preserve">If the token's on-chain holder list and the custodian's legal ownership registry ever diverge, the entire structure's credibility collapses. We build direct custodian/transfer-agent integration specifically to keep these permanently synchronized.</w:t>
      </w:r>
    </w:p>
    <w:p>
      <w:pPr>
        <w:pStyle w:val="Heading3"/>
        <w:spacing w:after="80" w:before="200"/>
      </w:pPr>
      <w:r>
        <w:t xml:space="preserve">Jurisdiction-Blind Investor Onboarding</w:t>
      </w:r>
    </w:p>
    <w:p>
      <w:pPr>
        <w:spacing w:after="140"/>
      </w:pPr>
      <w:r>
        <w:t xml:space="preserve">Treating all investors identically regardless of jurisdiction risks violating securities laws that vary significantly by country and investor accreditation status. We build onboarding flows that gate eligibility per jurisdiction from the start.</w:t>
      </w:r>
    </w:p>
    <w:p>
      <w:pPr>
        <w:pStyle w:val="Heading2"/>
        <w:spacing w:after="130" w:before="320"/>
      </w:pPr>
      <w:r>
        <w:t xml:space="preserve">10. Why Institutions Choose Quecko</w:t>
      </w:r>
    </w:p>
    <w:p>
      <w:pPr>
        <w:pStyle w:val="ListParagraph"/>
        <w:numPr>
          <w:ilvl w:val="0"/>
          <w:numId w:val="2"/>
        </w:numPr>
        <w:spacing w:after="80"/>
      </w:pPr>
      <w:r>
        <w:rPr>
          <w:b/>
          <w:bCs/>
        </w:rPr>
        <w:t xml:space="preserve">Legally Defensible Structure — </w:t>
      </w:r>
      <w:r>
        <w:t xml:space="preserve">Token design is coordinated directly with legal structuring so the on-chain asset has real, enforceable backing, not just a symbolic wrapper that looks credible in a pitch deck.</w:t>
      </w:r>
    </w:p>
    <w:p>
      <w:pPr>
        <w:pStyle w:val="ListParagraph"/>
        <w:numPr>
          <w:ilvl w:val="0"/>
          <w:numId w:val="2"/>
        </w:numPr>
        <w:spacing w:after="80"/>
      </w:pPr>
      <w:r>
        <w:rPr>
          <w:b/>
          <w:bCs/>
        </w:rPr>
        <w:t xml:space="preserve">Compliance-Native Tokens — </w:t>
      </w:r>
      <w:r>
        <w:t xml:space="preserve">Transfer restrictions and KYC-gating are built directly into the token standard itself, not bolted on with a separate, bypassable whitelist contract.</w:t>
      </w:r>
    </w:p>
    <w:p>
      <w:pPr>
        <w:pStyle w:val="ListParagraph"/>
        <w:numPr>
          <w:ilvl w:val="0"/>
          <w:numId w:val="2"/>
        </w:numPr>
        <w:spacing w:after="80"/>
      </w:pPr>
      <w:r>
        <w:rPr>
          <w:b/>
          <w:bCs/>
        </w:rPr>
        <w:t xml:space="preserve">Custodian Integration Experience — </w:t>
      </w:r>
      <w:r>
        <w:t xml:space="preserve">Direct integration experience with custodians and transfer agents maintaining the authoritative legal ownership record behind the token.</w:t>
      </w:r>
    </w:p>
    <w:p>
      <w:pPr>
        <w:pStyle w:val="ListParagraph"/>
        <w:numPr>
          <w:ilvl w:val="0"/>
          <w:numId w:val="2"/>
        </w:numPr>
        <w:spacing w:after="80"/>
      </w:pPr>
      <w:r>
        <w:rPr>
          <w:b/>
          <w:bCs/>
        </w:rPr>
        <w:t xml:space="preserve">Cross-Team Coordination — </w:t>
      </w:r>
      <w:r>
        <w:t xml:space="preserve">Works directly and continuously with Quecko's Legal Structuring and Regulatory Compliance teams for a fully coordinated, single-accountability launch.</w:t>
      </w:r>
    </w:p>
    <w:p>
      <w:pPr>
        <w:pStyle w:val="Heading2"/>
        <w:spacing w:after="130" w:before="320"/>
      </w:pPr>
      <w:r>
        <w:t xml:space="preserve">11. Engagement Models</w:t>
      </w:r>
    </w:p>
    <w:p>
      <w:pPr>
        <w:pStyle w:val="Heading3"/>
        <w:spacing w:after="80" w:before="200"/>
      </w:pPr>
      <w:r>
        <w:t xml:space="preserve">Full Tokenization Platform Build  (5–9 months typical)</w:t>
      </w:r>
    </w:p>
    <w:p>
      <w:pPr>
        <w:spacing w:after="140"/>
      </w:pPr>
      <w:r>
        <w:t xml:space="preserve">End-to-end tokenization from legal structuring through a complete investor-facing platform and secondary market support.</w:t>
      </w:r>
    </w:p>
    <w:p>
      <w:pPr>
        <w:pStyle w:val="Heading3"/>
        <w:spacing w:after="80" w:before="200"/>
      </w:pPr>
      <w:r>
        <w:t xml:space="preserve">Token Standard Implementation Only  (6–10 weeks)</w:t>
      </w:r>
    </w:p>
    <w:p>
      <w:pPr>
        <w:spacing w:after="140"/>
      </w:pPr>
      <w:r>
        <w:t xml:space="preserve">Permissioned token contract development for teams handling their own legal structuring separately.</w:t>
      </w:r>
    </w:p>
    <w:p>
      <w:pPr>
        <w:pStyle w:val="Heading3"/>
        <w:spacing w:after="80" w:before="200"/>
      </w:pPr>
      <w:r>
        <w:t xml:space="preserve">Dedicated Tokenization Engineering Pod  (Ongoing)</w:t>
      </w:r>
    </w:p>
    <w:p>
      <w:pPr>
        <w:spacing w:after="140"/>
      </w:pPr>
      <w:r>
        <w:t xml:space="preserve">Embedded engineers for continuous multi-asset tokenization programs across a growing portfolio.</w:t>
      </w:r>
    </w:p>
    <w:p>
      <w:pPr>
        <w:pStyle w:val="Heading2"/>
        <w:spacing w:after="130" w:before="320"/>
      </w:pPr>
      <w:r>
        <w:t xml:space="preserve">12. Proof in Production</w:t>
      </w:r>
    </w:p>
    <w:p>
      <w:pPr>
        <w:spacing w:after="140"/>
      </w:pPr>
      <w:r>
        <w:t xml:space="preserve">Pull any tokenization or fintech-adjacent portfolio pieces available; flag to the dev team that a dedicated RWA case study is a high-value asset to commission given how compliance-sensitive this buyer segment is.</w:t>
      </w:r>
    </w:p>
    <w:p>
      <w:pPr>
        <w:pStyle w:val="Heading2"/>
        <w:spacing w:after="130" w:before="320"/>
      </w:pPr>
      <w:r>
        <w:t xml:space="preserve">13. Testimonial</w:t>
      </w:r>
    </w:p>
    <w:p>
      <w:pPr>
        <w:spacing w:after="140"/>
      </w:pPr>
      <w:r>
        <w:t xml:space="preserve">Reuse existing testimonial component (Tom Blears / Bitcast quote, or another matching testimonial from the library) — no new content needed.</w:t>
      </w:r>
    </w:p>
    <w:p>
      <w:pPr>
        <w:pStyle w:val="Heading2"/>
        <w:spacing w:after="130" w:before="320"/>
      </w:pPr>
      <w:r>
        <w:t xml:space="preserve">14. FAQ</w:t>
      </w:r>
    </w:p>
    <w:p>
      <w:pPr>
        <w:pStyle w:val="Heading3"/>
        <w:spacing w:after="80" w:before="200"/>
      </w:pPr>
      <w:r>
        <w:t xml:space="preserve">Does tokenizing an asset require a securities license?</w:t>
      </w:r>
    </w:p>
    <w:p>
      <w:pPr>
        <w:spacing w:after="140"/>
      </w:pPr>
      <w:r>
        <w:t xml:space="preserve">In most jurisdictions, yes, for any public offering of a tokenized asset that functions as an investment — we coordinate directly with our Compliance &amp; Legal Advisory team to structure this correctly for your target market, since the specific licensing requirement depends heavily on the asset type, offering structure, and investor base.</w:t>
      </w:r>
    </w:p>
    <w:p>
      <w:pPr>
        <w:pStyle w:val="Heading3"/>
        <w:spacing w:after="80" w:before="200"/>
      </w:pPr>
      <w:r>
        <w:t xml:space="preserve">How is the token linked to the real-world asset legally?</w:t>
      </w:r>
    </w:p>
    <w:p>
      <w:pPr>
        <w:spacing w:after="140"/>
      </w:pPr>
      <w:r>
        <w:t xml:space="preserve">Through a legal wrapper — typically a special purpose vehicle (SPV) — combined with custodian or transfer agent integration that maintains the authoritative ownership record. The token itself functions as a representation of an interest in that legal structure, not as the asset's ownership record in isolation.</w:t>
      </w:r>
    </w:p>
    <w:p>
      <w:pPr>
        <w:pStyle w:val="Heading3"/>
        <w:spacing w:after="80" w:before="200"/>
      </w:pPr>
      <w:r>
        <w:t xml:space="preserve">Can tokenized assets be traded on secondary markets?</w:t>
      </w:r>
    </w:p>
    <w:p>
      <w:pPr>
        <w:spacing w:after="140"/>
      </w:pPr>
      <w:r>
        <w:t xml:space="preserve">Only where the underlying legal and regulatory structure explicitly permits it — we build for compliant secondary trading venues (an ATS or regional equivalent) specifically when the offering structure allows for it, and design the token to simply refuse restricted transfers otherwise.</w:t>
      </w:r>
    </w:p>
    <w:p>
      <w:pPr>
        <w:pStyle w:val="Heading3"/>
        <w:spacing w:after="80" w:before="200"/>
      </w:pPr>
      <w:r>
        <w:t xml:space="preserve">What asset classes can be tokenized?</w:t>
      </w:r>
    </w:p>
    <w:p>
      <w:pPr>
        <w:spacing w:after="140"/>
      </w:pPr>
      <w:r>
        <w:t xml:space="preserve">Real estate, fund shares, and commodities are the most common and best-established categories; other asset classes (private credit, art, intellectual property royalties) can be assessed case-by-case depending on how clearly the underlying legal ownership can be structured and enforced.</w:t>
      </w:r>
    </w:p>
    <w:p>
      <w:pPr>
        <w:pStyle w:val="Heading3"/>
        <w:spacing w:after="80" w:before="200"/>
      </w:pPr>
      <w:r>
        <w:t xml:space="preserve">How long does reserve or asset attestation take for commodity tokenization?</w:t>
      </w:r>
    </w:p>
    <w:p>
      <w:pPr>
        <w:spacing w:after="140"/>
      </w:pPr>
      <w:r>
        <w:t xml:space="preserve">This depends on the custodian's own audit and attestation cadence, typically monthly or quarterly for gold and similar commodities — we build the reporting infrastructure to automatically surface these attestations to token holders as they're published.</w:t>
      </w:r>
    </w:p>
    <w:p>
      <w:pPr>
        <w:pStyle w:val="Heading3"/>
        <w:spacing w:after="80" w:before="200"/>
      </w:pPr>
      <w:r>
        <w:t xml:space="preserve">Can existing traditional-finance investors participate without understanding crypto?</w:t>
      </w:r>
    </w:p>
    <w:p>
      <w:pPr>
        <w:spacing w:after="140"/>
      </w:pPr>
      <w:r>
        <w:t xml:space="preserve">Yes — the investor onboarding platform is designed so participants interact with a familiar subscription and KYC process, with the blockchain settlement layer operating largely behind the scenes rather than requiring investors to manage a crypto wallet or understand blockchain mechanics directly.</w:t>
      </w:r>
    </w:p>
    <w:p>
      <w:pPr>
        <w:pStyle w:val="Heading2"/>
        <w:spacing w:after="130" w:before="320"/>
      </w:pPr>
      <w:r>
        <w:t xml:space="preserve">15. Closing CTA</w:t>
      </w:r>
    </w:p>
    <w:p>
      <w:pPr>
        <w:spacing w:after="140"/>
      </w:pPr>
      <w:r>
        <w:t xml:space="preserve">Ready to tokenize an asset with a legal claim that actually holds up?</w:t>
      </w:r>
    </w:p>
    <w:p>
      <w:pPr>
        <w:spacing w:after="160"/>
      </w:pPr>
      <w:r>
        <w:rPr>
          <w:i/>
          <w:iCs/>
        </w:rPr>
        <w:t xml:space="preserve">CTA Buttons: "Talk to a Tokenization Engineer"  /  "View Our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2026-08-03T14:07:07.326Z</dcterms:created>
  <dcterms:modified xsi:type="dcterms:W3CDTF">2026-08-03T14:07:07.326Z</dcterms:modified>
</cp:coreProperties>
</file>

<file path=docProps/custom.xml><?xml version="1.0" encoding="utf-8"?>
<Properties xmlns="http://schemas.openxmlformats.org/officeDocument/2006/custom-properties" xmlns:vt="http://schemas.openxmlformats.org/officeDocument/2006/docPropsVTypes"/>
</file>