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Web3 Compliance &amp; Legal Advisory</w:t>
      </w:r>
    </w:p>
    <w:p>
      <w:pPr>
        <w:spacing w:after="160"/>
      </w:pPr>
      <w:r>
        <w:rPr>
          <w:i/>
          <w:iCs/>
        </w:rPr>
        <w:t xml:space="preserve">Suggested URL: quecko.com/services/web3/web3-compliance-legal-advisory</w:t>
      </w:r>
    </w:p>
    <w:p>
      <w:pPr>
        <w:spacing w:after="100"/>
      </w:pPr>
      <w:r>
        <w:rPr>
          <w:b/>
          <w:bCs/>
        </w:rPr>
        <w:t xml:space="preserve">Meta Title: </w:t>
      </w:r>
      <w:r>
        <w:t xml:space="preserve">Web3 Compliance &amp; Legal Advisory Services | Quecko</w:t>
      </w:r>
    </w:p>
    <w:p>
      <w:pPr>
        <w:spacing w:after="100"/>
      </w:pPr>
      <w:r>
        <w:rPr>
          <w:b/>
          <w:bCs/>
        </w:rPr>
        <w:t xml:space="preserve">Meta Description: </w:t>
      </w:r>
      <w:r>
        <w:t xml:space="preserve">Quecko provides Web3 regulatory compliance consulting, licensing support, legal token structuring, AML/CFT policy design, whitepaper review, and cross-border data privacy advisory.</w:t>
      </w:r>
    </w:p>
    <w:p>
      <w:pPr>
        <w:spacing w:after="100"/>
      </w:pPr>
      <w:r>
        <w:rPr>
          <w:b/>
          <w:bCs/>
        </w:rPr>
        <w:t xml:space="preserve">One-Line Positioning: </w:t>
      </w:r>
      <w:r>
        <w:t xml:space="preserve">Answering 'is this legal?' before it becomes an enforcement action, not after.</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 subtle document/redline motif — a stylized whitepaper page with visible tracked-changes markup, layered over a soft world-map silhouette highlighting key jurisdictions). Headline (2 rotating/A-B testable variants provided below), one-line subhead, dual CTA buttons, and the standard 4-stat ticker row underneath.</w:t>
      </w:r>
    </w:p>
    <w:p>
      <w:pPr>
        <w:pStyle w:val="Heading3"/>
        <w:spacing w:after="80" w:before="200"/>
      </w:pPr>
      <w:r>
        <w:t xml:space="preserve">2. The Regulatory Window Has Closed</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Why 'We'll Figure Out Compliance Later' Ends Careers</w:t>
      </w:r>
    </w:p>
    <w:p>
      <w:pPr>
        <w:spacing w:after="140"/>
      </w:pPr>
      <w:r>
        <w:t xml:space="preserve">Centered narrative paragraph, followed by a two-column "Old Way vs. Quecko Way" comparison list — undefined</w:t>
      </w:r>
    </w:p>
    <w:p>
      <w:pPr>
        <w:pStyle w:val="Heading3"/>
        <w:spacing w:after="80" w:before="200"/>
      </w:pPr>
      <w:r>
        <w:t xml:space="preserve">4. From Jurisdiction Strategy to Regulator Sign-Off</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Regulatory Coverage We Track</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Compliance Mistakes We Help Clients Avoid</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Founders Choose Quecko's Compliance Team</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The Regulatory Window Has Closed. Compliance Isn't Optional Anymore.</w:t>
      </w:r>
    </w:p>
    <w:p>
      <w:pPr>
        <w:pStyle w:val="Heading3"/>
        <w:spacing w:after="80" w:before="200"/>
      </w:pPr>
      <w:r>
        <w:t xml:space="preserve">Headline — Option B</w:t>
      </w:r>
    </w:p>
    <w:p>
      <w:pPr>
        <w:spacing w:after="140"/>
      </w:pPr>
      <w:r>
        <w:t xml:space="preserve">Legal Structure First. Launch With Confidence.</w:t>
      </w:r>
    </w:p>
    <w:p>
      <w:pPr>
        <w:pStyle w:val="Heading3"/>
        <w:spacing w:after="80" w:before="200"/>
      </w:pPr>
      <w:r>
        <w:t xml:space="preserve">Subheadline</w:t>
      </w:r>
    </w:p>
    <w:p>
      <w:pPr>
        <w:spacing w:after="140"/>
      </w:pPr>
      <w:r>
        <w:t xml:space="preserve">Quecko bridges the gap between technical execution and regulatory reality — providing jurisdiction strategy, licensing support, legal token structuring, AML/CFT policy frameworks, and whitepaper review to secure your Web3 launch from day one, not as damage control after a regulator inquiry.</w:t>
      </w:r>
    </w:p>
    <w:p>
      <w:pPr>
        <w:spacing w:after="160"/>
      </w:pPr>
      <w:r>
        <w:rPr>
          <w:i/>
          <w:iCs/>
        </w:rPr>
        <w:t xml:space="preserve">CTA Buttons: "Talk to a Compliance Advisor"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The Regulatory Window Has Closed</w:t>
      </w:r>
    </w:p>
    <w:p>
      <w:pPr>
        <w:spacing w:after="140"/>
      </w:pPr>
      <w:r>
        <w:t xml:space="preserve">The period when crypto projects could plausibly claim regulatory frameworks were still 'coming soon' has ended — the US GENIUS Act is now federal law governing stablecoins, the EU's MiCA framework is in full enforcement with hard authorization deadlines, and FATF's Travel Rule is actively enforced across more than 70 jurisdictions worldwide. What used to be a theoretical compliance conversation for a future funding round is now an operational gate that determines whether a project can secure banking partnerships, exchange listings, and institutional capital at all.</w:t>
      </w:r>
    </w:p>
    <w:p>
      <w:pPr>
        <w:pStyle w:val="Heading2"/>
        <w:spacing w:after="130" w:before="320"/>
      </w:pPr>
      <w:r>
        <w:t xml:space="preserve">3. Why 'We'll Figure Out Compliance Later' Ends Careers</w:t>
      </w:r>
    </w:p>
    <w:p>
      <w:pPr>
        <w:spacing w:after="140"/>
      </w:pPr>
      <w:r>
        <w:t xml:space="preserve">Launching a Web3 project without a clear compliance framework is one of the fastest ways to face regulatory enforcement, sudden exchange delistings, or the abrupt loss of core banking rails a project has come to depend on. With Europe's MiCA in full enforcement, US federal stablecoin guidelines actively tightening, and FATF's Travel Rule active across the majority of relevant jurisdictions, founders need a credible answer to 'is this legal in our target market?' from the earliest planning stages, not as a retroactive scramble once a regulator or banking partner starts asking uncomfortable questions. At Quecko, we bridge the gap between technical execution and regulatory planning — providing token classification mapping, legal structuring, AML policy documentation, and whitepaper redlining to secure your launch before it becomes a liability.</w:t>
      </w:r>
    </w:p>
    <w:p>
      <w:pPr>
        <w:pStyle w:val="Heading3"/>
        <w:spacing w:after="80" w:before="200"/>
      </w:pPr>
      <w:r>
        <w:t xml:space="preserve">The Old Way</w:t>
      </w:r>
    </w:p>
    <w:p>
      <w:pPr>
        <w:pStyle w:val="ListParagraph"/>
        <w:numPr>
          <w:ilvl w:val="0"/>
          <w:numId w:val="2"/>
        </w:numPr>
        <w:spacing w:after="70"/>
      </w:pPr>
      <w:r>
        <w:t xml:space="preserve">Launch first, figure out licensing and classification once the project gains traction</w:t>
      </w:r>
    </w:p>
    <w:p>
      <w:pPr>
        <w:pStyle w:val="ListParagraph"/>
        <w:numPr>
          <w:ilvl w:val="0"/>
          <w:numId w:val="2"/>
        </w:numPr>
        <w:spacing w:after="70"/>
      </w:pPr>
      <w:r>
        <w:t xml:space="preserve">Copy a generic whitepaper template without legal review of its specific claims</w:t>
      </w:r>
    </w:p>
    <w:p>
      <w:pPr>
        <w:pStyle w:val="ListParagraph"/>
        <w:numPr>
          <w:ilvl w:val="0"/>
          <w:numId w:val="2"/>
        </w:numPr>
        <w:spacing w:after="70"/>
      </w:pPr>
      <w:r>
        <w:t xml:space="preserve">Treat AML policy as a document to produce only if a regulator asks for one</w:t>
      </w:r>
    </w:p>
    <w:p>
      <w:pPr>
        <w:pStyle w:val="ListParagraph"/>
        <w:numPr>
          <w:ilvl w:val="0"/>
          <w:numId w:val="2"/>
        </w:numPr>
        <w:spacing w:after="70"/>
      </w:pPr>
      <w:r>
        <w:t xml:space="preserve">Assume one jurisdiction's compliance approach transfers cleanly to every other market</w:t>
      </w:r>
    </w:p>
    <w:p>
      <w:pPr>
        <w:pStyle w:val="Heading3"/>
        <w:spacing w:after="80" w:before="200"/>
      </w:pPr>
      <w:r>
        <w:t xml:space="preserve">The Quecko Way</w:t>
      </w:r>
    </w:p>
    <w:p>
      <w:pPr>
        <w:pStyle w:val="ListParagraph"/>
        <w:numPr>
          <w:ilvl w:val="0"/>
          <w:numId w:val="2"/>
        </w:numPr>
        <w:spacing w:after="70"/>
      </w:pPr>
      <w:r>
        <w:t xml:space="preserve">Map jurisdiction strategy and token classification before development budget is fully committed</w:t>
      </w:r>
    </w:p>
    <w:p>
      <w:pPr>
        <w:pStyle w:val="ListParagraph"/>
        <w:numPr>
          <w:ilvl w:val="0"/>
          <w:numId w:val="2"/>
        </w:numPr>
        <w:spacing w:after="70"/>
      </w:pPr>
      <w:r>
        <w:t xml:space="preserve">Legally review every public-facing document for securities-law and marketing-claim risk before publication</w:t>
      </w:r>
    </w:p>
    <w:p>
      <w:pPr>
        <w:pStyle w:val="ListParagraph"/>
        <w:numPr>
          <w:ilvl w:val="0"/>
          <w:numId w:val="2"/>
        </w:numPr>
        <w:spacing w:after="70"/>
      </w:pPr>
      <w:r>
        <w:t xml:space="preserve">Draft a genuine, operational AML/CFT policy aligned to the technical monitoring systems in place</w:t>
      </w:r>
    </w:p>
    <w:p>
      <w:pPr>
        <w:pStyle w:val="ListParagraph"/>
        <w:numPr>
          <w:ilvl w:val="0"/>
          <w:numId w:val="2"/>
        </w:numPr>
        <w:spacing w:after="70"/>
      </w:pPr>
      <w:r>
        <w:t xml:space="preserve">Treat each target jurisdiction's requirements as distinct, since major regimes diverge meaningfully in practice</w:t>
      </w:r>
    </w:p>
    <w:p>
      <w:pPr>
        <w:pStyle w:val="Heading2"/>
        <w:spacing w:after="130" w:before="320"/>
      </w:pPr>
      <w:r>
        <w:t xml:space="preserve">4. From Jurisdiction Strategy to Regulator Sign-Off</w:t>
      </w:r>
    </w:p>
    <w:p>
      <w:pPr>
        <w:spacing w:after="60" w:before="160"/>
      </w:pPr>
      <w:r>
        <w:rPr>
          <w:b/>
          <w:bCs/>
          <w:sz w:val="24"/>
          <w:szCs w:val="24"/>
        </w:rPr>
        <w:t xml:space="preserve">1. Jurisdiction &amp; Classification Analysis</w:t>
      </w:r>
    </w:p>
    <w:p>
      <w:pPr>
        <w:spacing w:after="140"/>
      </w:pPr>
      <w:r>
        <w:t xml:space="preserve">Analyze token utility, target user base, and identify the optimal legal entities and jurisdictional hubs for your specific launch — a decision that shapes nearly every downstream compliance requirement.</w:t>
      </w:r>
    </w:p>
    <w:p>
      <w:pPr>
        <w:spacing w:after="60" w:before="160"/>
      </w:pPr>
      <w:r>
        <w:rPr>
          <w:b/>
          <w:bCs/>
          <w:sz w:val="24"/>
          <w:szCs w:val="24"/>
        </w:rPr>
        <w:t xml:space="preserve">2. Policy &amp; Agreement Drafting</w:t>
      </w:r>
    </w:p>
    <w:p>
      <w:pPr>
        <w:spacing w:after="140"/>
      </w:pPr>
      <w:r>
        <w:t xml:space="preserve">Write specific, operational AML/CFT policy manuals, structure foundation or DAO legal wrappers, and draft investor agreements (SAFTs) tailored to your actual token structure rather than a generic template.</w:t>
      </w:r>
    </w:p>
    <w:p>
      <w:pPr>
        <w:spacing w:after="60" w:before="160"/>
      </w:pPr>
      <w:r>
        <w:rPr>
          <w:b/>
          <w:bCs/>
          <w:sz w:val="24"/>
          <w:szCs w:val="24"/>
        </w:rPr>
        <w:t xml:space="preserve">3. Documentation Legal Review</w:t>
      </w:r>
    </w:p>
    <w:p>
      <w:pPr>
        <w:spacing w:after="140"/>
      </w:pPr>
      <w:r>
        <w:t xml:space="preserve">Redline the whitepaper and marketing materials for securities-law risk language and unsupported claims before anything goes public, since these documents are frequently the first evidence regulators or plaintiffs examine.</w:t>
      </w:r>
    </w:p>
    <w:p>
      <w:pPr>
        <w:spacing w:after="60" w:before="160"/>
      </w:pPr>
      <w:r>
        <w:rPr>
          <w:b/>
          <w:bCs/>
          <w:sz w:val="24"/>
          <w:szCs w:val="24"/>
        </w:rPr>
        <w:t xml:space="preserve">4. Regulator Submission &amp; Liaison</w:t>
      </w:r>
    </w:p>
    <w:p>
      <w:pPr>
        <w:spacing w:after="140"/>
      </w:pPr>
      <w:r>
        <w:t xml:space="preserve">Compile complete licensing dossiers and liaise directly with locally licensed legal representatives through the actual regulator submission and review process.</w:t>
      </w:r>
    </w:p>
    <w:p>
      <w:pPr>
        <w:spacing w:after="60" w:before="160"/>
      </w:pPr>
      <w:r>
        <w:rPr>
          <w:b/>
          <w:bCs/>
          <w:sz w:val="24"/>
          <w:szCs w:val="24"/>
        </w:rPr>
        <w:t xml:space="preserve">5. Ongoing Policy Tuning</w:t>
      </w:r>
    </w:p>
    <w:p>
      <w:pPr>
        <w:spacing w:after="140"/>
      </w:pPr>
      <w:r>
        <w:t xml:space="preserve">Review the compliance framework annually at minimum, and adjust transaction monitoring parameters and policy documentation promptly as regulatory requirements evolve in your operating jurisdictions.</w:t>
      </w:r>
    </w:p>
    <w:p>
      <w:pPr>
        <w:pStyle w:val="Heading2"/>
        <w:spacing w:after="130" w:before="320"/>
      </w:pPr>
      <w:r>
        <w:t xml:space="preserve">5. Capabilities</w:t>
      </w:r>
    </w:p>
    <w:p>
      <w:pPr>
        <w:pStyle w:val="Heading3"/>
        <w:spacing w:after="80" w:before="200"/>
      </w:pPr>
      <w:r>
        <w:t xml:space="preserve">Regulatory Strategy &amp; Market Entry Consulting</w:t>
      </w:r>
    </w:p>
    <w:p>
      <w:pPr>
        <w:spacing w:after="140"/>
      </w:pPr>
      <w:r>
        <w:t xml:space="preserve">Jurisdiction entry sequencing strategy across the US, EU, UAE, Singapore, and Hong Kong, launch-readiness checklist audits, and CASP/VASP classification analysis specific to your business model.</w:t>
      </w:r>
    </w:p>
    <w:p>
      <w:pPr>
        <w:pStyle w:val="Heading3"/>
        <w:spacing w:after="80" w:before="200"/>
      </w:pPr>
      <w:r>
        <w:t xml:space="preserve">Crypto Licensing &amp; Registry Support</w:t>
      </w:r>
    </w:p>
    <w:p>
      <w:pPr>
        <w:spacing w:after="140"/>
      </w:pPr>
      <w:r>
        <w:t xml:space="preserve">MSB and VASP registration application support, state and federal MTL application preparation, and direct regulator filing liaison through the submission and review process.</w:t>
      </w:r>
    </w:p>
    <w:p>
      <w:pPr>
        <w:pStyle w:val="Heading3"/>
        <w:spacing w:after="80" w:before="200"/>
      </w:pPr>
      <w:r>
        <w:t xml:space="preserve">Legal Structuring &amp; Token Launches</w:t>
      </w:r>
    </w:p>
    <w:p>
      <w:pPr>
        <w:spacing w:after="140"/>
      </w:pPr>
      <w:r>
        <w:t xml:space="preserve">Foundation/DAO legal wrappers, SAFT/SAFE drafting support, token classification analysis distinguishing securities from commodities, and cross-border liability structures.</w:t>
      </w:r>
    </w:p>
    <w:p>
      <w:pPr>
        <w:pStyle w:val="Heading3"/>
        <w:spacing w:after="80" w:before="200"/>
      </w:pPr>
      <w:r>
        <w:t xml:space="preserve">AML/CFT Policies &amp; Travel Rule Protocols</w:t>
      </w:r>
    </w:p>
    <w:p>
      <w:pPr>
        <w:spacing w:after="140"/>
      </w:pPr>
      <w:r>
        <w:t xml:space="preserve">Written AML policy manuals with specific operational thresholds, Travel Rule data-sharing protocol selection (TRUST/TRISA), enhanced due diligence (EDD) design, and risk-tier templates matched to your customer base.</w:t>
      </w:r>
    </w:p>
    <w:p>
      <w:pPr>
        <w:pStyle w:val="Heading3"/>
        <w:spacing w:after="80" w:before="200"/>
      </w:pPr>
      <w:r>
        <w:t xml:space="preserve">Whitepaper &amp; Marketing Legal Reviews</w:t>
      </w:r>
    </w:p>
    <w:p>
      <w:pPr>
        <w:spacing w:after="140"/>
      </w:pPr>
      <w:r>
        <w:t xml:space="preserve">Redline reviews for public documents, marketing claim risk mitigation, pre-publication sign-off workflows, and translation risk audits for materials published across multiple markets.</w:t>
      </w:r>
    </w:p>
    <w:p>
      <w:pPr>
        <w:pStyle w:val="Heading3"/>
        <w:spacing w:after="80" w:before="200"/>
      </w:pPr>
      <w:r>
        <w:t xml:space="preserve">Data Privacy, Tax &amp; Institutional Frameworks</w:t>
      </w:r>
    </w:p>
    <w:p>
      <w:pPr>
        <w:spacing w:after="140"/>
      </w:pPr>
      <w:r>
        <w:t xml:space="preserve">Cross-border data privacy audits (GDPR compliance), crypto cost-basis tax modeling, and institutional digital asset governance frameworks for enterprise clients formalizing their crypto policy.</w:t>
      </w:r>
    </w:p>
    <w:p>
      <w:pPr>
        <w:pStyle w:val="Heading2"/>
        <w:spacing w:after="130" w:before="320"/>
      </w:pPr>
      <w:r>
        <w:t xml:space="preserve">6. Regulatory Coverage We Track</w:t>
      </w:r>
    </w:p>
    <w:p>
      <w:pPr>
        <w:pStyle w:val="ListParagraph"/>
        <w:numPr>
          <w:ilvl w:val="0"/>
          <w:numId w:val="2"/>
        </w:numPr>
        <w:spacing w:after="80"/>
      </w:pPr>
      <w:r>
        <w:rPr>
          <w:b/>
          <w:bCs/>
        </w:rPr>
        <w:t xml:space="preserve">5+ major jurisdictions tracked — </w:t>
      </w:r>
      <w:r>
        <w:t xml:space="preserve">US, EU, UAE, Singapore, Hong Kong, and offshore hubs monitored continuously</w:t>
      </w:r>
    </w:p>
    <w:p>
      <w:pPr>
        <w:pStyle w:val="ListParagraph"/>
        <w:numPr>
          <w:ilvl w:val="0"/>
          <w:numId w:val="2"/>
        </w:numPr>
        <w:spacing w:after="80"/>
      </w:pPr>
      <w:r>
        <w:rPr>
          <w:b/>
          <w:bCs/>
        </w:rPr>
        <w:t xml:space="preserve">70+ Travel Rule jurisdictions — </w:t>
      </w:r>
      <w:r>
        <w:t xml:space="preserve">FATF Recommendation 16 enforcement now active across the majority of relevant markets</w:t>
      </w:r>
    </w:p>
    <w:p>
      <w:pPr>
        <w:pStyle w:val="ListParagraph"/>
        <w:numPr>
          <w:ilvl w:val="0"/>
          <w:numId w:val="2"/>
        </w:numPr>
        <w:spacing w:after="80"/>
      </w:pPr>
      <w:r>
        <w:rPr>
          <w:b/>
          <w:bCs/>
        </w:rPr>
        <w:t xml:space="preserve">Annual policy review, minimum — </w:t>
      </w:r>
      <w:r>
        <w:t xml:space="preserve">every compliance framework revisited at least yearly as regulation evolves</w:t>
      </w:r>
    </w:p>
    <w:p>
      <w:pPr>
        <w:pStyle w:val="ListParagraph"/>
        <w:numPr>
          <w:ilvl w:val="0"/>
          <w:numId w:val="2"/>
        </w:numPr>
        <w:spacing w:after="80"/>
      </w:pPr>
      <w:r>
        <w:rPr>
          <w:b/>
          <w:bCs/>
        </w:rPr>
        <w:t xml:space="preserve">Coordinated technical + legal review — </w:t>
      </w:r>
      <w:r>
        <w:t xml:space="preserve">policy documentation aligned directly with the actual monitoring systems in place</w:t>
      </w:r>
    </w:p>
    <w:p>
      <w:pPr>
        <w:pStyle w:val="Heading2"/>
        <w:spacing w:after="130" w:before="320"/>
      </w:pPr>
      <w:r>
        <w:t xml:space="preserve">7. Ecosystem / Chain Coverage</w:t>
      </w:r>
    </w:p>
    <w:p>
      <w:pPr>
        <w:pStyle w:val="ListParagraph"/>
        <w:numPr>
          <w:ilvl w:val="0"/>
          <w:numId w:val="2"/>
        </w:numPr>
        <w:spacing w:after="80"/>
      </w:pPr>
      <w:r>
        <w:rPr>
          <w:b/>
          <w:bCs/>
        </w:rPr>
        <w:t xml:space="preserve">United States — </w:t>
      </w:r>
      <w:r>
        <w:t xml:space="preserve">GENIUS Act stablecoin rules, SEC/CFTC digital asset classification, MSB/MTL licensing.</w:t>
      </w:r>
    </w:p>
    <w:p>
      <w:pPr>
        <w:pStyle w:val="ListParagraph"/>
        <w:numPr>
          <w:ilvl w:val="0"/>
          <w:numId w:val="2"/>
        </w:numPr>
        <w:spacing w:after="80"/>
      </w:pPr>
      <w:r>
        <w:rPr>
          <w:b/>
          <w:bCs/>
        </w:rPr>
        <w:t xml:space="preserve">European Union — </w:t>
      </w:r>
      <w:r>
        <w:t xml:space="preserve">MiCA authorization, CASP registration, crypto-asset whitepaper filing requirements.</w:t>
      </w:r>
    </w:p>
    <w:p>
      <w:pPr>
        <w:pStyle w:val="ListParagraph"/>
        <w:numPr>
          <w:ilvl w:val="0"/>
          <w:numId w:val="2"/>
        </w:numPr>
        <w:spacing w:after="80"/>
      </w:pPr>
      <w:r>
        <w:rPr>
          <w:b/>
          <w:bCs/>
        </w:rPr>
        <w:t xml:space="preserve">UAE — </w:t>
      </w:r>
      <w:r>
        <w:t xml:space="preserve">VARA licensing framework for virtual asset service providers.</w:t>
      </w:r>
    </w:p>
    <w:p>
      <w:pPr>
        <w:pStyle w:val="ListParagraph"/>
        <w:numPr>
          <w:ilvl w:val="0"/>
          <w:numId w:val="2"/>
        </w:numPr>
        <w:spacing w:after="80"/>
      </w:pPr>
      <w:r>
        <w:rPr>
          <w:b/>
          <w:bCs/>
        </w:rPr>
        <w:t xml:space="preserve">Singapore &amp; Hong Kong — </w:t>
      </w:r>
      <w:r>
        <w:t xml:space="preserve">MAS payment services licensing and Hong Kong's Stablecoins Ordinance regime.</w:t>
      </w:r>
    </w:p>
    <w:p>
      <w:pPr>
        <w:pStyle w:val="Heading2"/>
        <w:spacing w:after="130" w:before="320"/>
      </w:pPr>
      <w:r>
        <w:t xml:space="preserve">8. Technology Stack</w:t>
      </w:r>
    </w:p>
    <w:p>
      <w:pPr>
        <w:pStyle w:val="Heading3"/>
        <w:spacing w:after="80" w:before="200"/>
      </w:pPr>
      <w:r>
        <w:t xml:space="preserve">Regulatory Frameworks Tracked</w:t>
      </w:r>
    </w:p>
    <w:p>
      <w:pPr>
        <w:spacing w:after="140"/>
      </w:pPr>
      <w:r>
        <w:t xml:space="preserve">US GENIUS Act, EU MiCA, FATF Recommendation 15/16 (Travel Rule), Regional VASP/CASP regimes</w:t>
      </w:r>
    </w:p>
    <w:p>
      <w:pPr>
        <w:pStyle w:val="Heading3"/>
        <w:spacing w:after="80" w:before="200"/>
      </w:pPr>
      <w:r>
        <w:t xml:space="preserve">Compliance Tooling Awareness</w:t>
      </w:r>
    </w:p>
    <w:p>
      <w:pPr>
        <w:spacing w:after="140"/>
      </w:pPr>
      <w:r>
        <w:t xml:space="preserve">Travel Rule protocols (TRUST, TRISA), Sanctions/PEP screening categories</w:t>
      </w:r>
    </w:p>
    <w:p>
      <w:pPr>
        <w:pStyle w:val="Heading2"/>
        <w:spacing w:after="130" w:before="320"/>
      </w:pPr>
      <w:r>
        <w:t xml:space="preserve">9. Compliance Mistakes We Help Clients Avoid</w:t>
      </w:r>
    </w:p>
    <w:p>
      <w:pPr>
        <w:pStyle w:val="Heading3"/>
        <w:spacing w:after="80" w:before="200"/>
      </w:pPr>
      <w:r>
        <w:t xml:space="preserve">Whitepaper Language That Creates Securities Exposure</w:t>
      </w:r>
    </w:p>
    <w:p>
      <w:pPr>
        <w:spacing w:after="140"/>
      </w:pPr>
      <w:r>
        <w:t xml:space="preserve">Casual promises of guaranteed returns or profit-sharing in a whitepaper can retroactively push an otherwise defensible token into securities territory. We redline every public document specifically hunting for this kind of exposure before publication.</w:t>
      </w:r>
    </w:p>
    <w:p>
      <w:pPr>
        <w:pStyle w:val="Heading3"/>
        <w:spacing w:after="80" w:before="200"/>
      </w:pPr>
      <w:r>
        <w:t xml:space="preserve">One-Size-Fits-All Jurisdiction Strategy</w:t>
      </w:r>
    </w:p>
    <w:p>
      <w:pPr>
        <w:spacing w:after="140"/>
      </w:pPr>
      <w:r>
        <w:t xml:space="preserve">Assuming a compliance approach designed for one jurisdiction transfers cleanly to another routinely produces gaps, since major regimes diverge meaningfully on classification, licensing, and reserve requirements. We treat each target market's requirements as genuinely distinct.</w:t>
      </w:r>
    </w:p>
    <w:p>
      <w:pPr>
        <w:pStyle w:val="Heading3"/>
        <w:spacing w:after="80" w:before="200"/>
      </w:pPr>
      <w:r>
        <w:t xml:space="preserve">Written Policy Disconnected From Technical Reality</w:t>
      </w:r>
    </w:p>
    <w:p>
      <w:pPr>
        <w:spacing w:after="140"/>
      </w:pPr>
      <w:r>
        <w:t xml:space="preserve">AML policy documents written by legal teams with no visibility into the actual technical monitoring systems in place often describe controls that don't actually exist in production. We coordinate policy drafting directly with the technical compliance build.</w:t>
      </w:r>
    </w:p>
    <w:p>
      <w:pPr>
        <w:pStyle w:val="Heading3"/>
        <w:spacing w:after="80" w:before="200"/>
      </w:pPr>
      <w:r>
        <w:t xml:space="preserve">Travel Rule Gaps in Cross-Border Transfers</w:t>
      </w:r>
    </w:p>
    <w:p>
      <w:pPr>
        <w:spacing w:after="140"/>
      </w:pPr>
      <w:r>
        <w:t xml:space="preserve">Platforms operating in only one home jurisdiction often overlook that Travel Rule obligations can still apply the moment a user transacts with a foreign VASP counterparty. We assess this exposure explicitly rather than assuming domestic-only operations are automatically exempt.</w:t>
      </w:r>
    </w:p>
    <w:p>
      <w:pPr>
        <w:pStyle w:val="Heading2"/>
        <w:spacing w:after="130" w:before="320"/>
      </w:pPr>
      <w:r>
        <w:t xml:space="preserve">10. Why Founders Choose Quecko's Compliance Team</w:t>
      </w:r>
    </w:p>
    <w:p>
      <w:pPr>
        <w:pStyle w:val="ListParagraph"/>
        <w:numPr>
          <w:ilvl w:val="0"/>
          <w:numId w:val="2"/>
        </w:numPr>
        <w:spacing w:after="80"/>
      </w:pPr>
      <w:r>
        <w:rPr>
          <w:b/>
          <w:bCs/>
        </w:rPr>
        <w:t xml:space="preserve">Multi-Jurisdiction Fluency — </w:t>
      </w:r>
      <w:r>
        <w:t xml:space="preserve">We track how major regimes diverge in practice — US, EU, UAE, Singapore, Hong Kong — rather than applying a single market's playbook everywhere and hoping it holds up.</w:t>
      </w:r>
    </w:p>
    <w:p>
      <w:pPr>
        <w:pStyle w:val="ListParagraph"/>
        <w:numPr>
          <w:ilvl w:val="0"/>
          <w:numId w:val="2"/>
        </w:numPr>
        <w:spacing w:after="80"/>
      </w:pPr>
      <w:r>
        <w:rPr>
          <w:b/>
          <w:bCs/>
        </w:rPr>
        <w:t xml:space="preserve">Operational Alignment — </w:t>
      </w:r>
      <w:r>
        <w:t xml:space="preserve">We don't hand over static legal templates disconnected from reality — written policies are aligned directly with the actual technical systems your platform runs in production.</w:t>
      </w:r>
    </w:p>
    <w:p>
      <w:pPr>
        <w:pStyle w:val="ListParagraph"/>
        <w:numPr>
          <w:ilvl w:val="0"/>
          <w:numId w:val="2"/>
        </w:numPr>
        <w:spacing w:after="80"/>
      </w:pPr>
      <w:r>
        <w:rPr>
          <w:b/>
          <w:bCs/>
        </w:rPr>
        <w:t xml:space="preserve">Consolidated Expertise — </w:t>
      </w:r>
      <w:r>
        <w:t xml:space="preserve">Token classification, licensing, AML policy, tax, and privacy are mapped in a single coordinated engagement, rather than requiring five disconnected specialist vendors who never talk to each other.</w:t>
      </w:r>
    </w:p>
    <w:p>
      <w:pPr>
        <w:pStyle w:val="ListParagraph"/>
        <w:numPr>
          <w:ilvl w:val="0"/>
          <w:numId w:val="2"/>
        </w:numPr>
        <w:spacing w:after="80"/>
      </w:pPr>
      <w:r>
        <w:rPr>
          <w:b/>
          <w:bCs/>
        </w:rPr>
        <w:t xml:space="preserve">Partner Network — </w:t>
      </w:r>
      <w:r>
        <w:t xml:space="preserve">Coordinated access to licensed local legal counsel in each relevant jurisdiction where formal legal opinions are specifically required.</w:t>
      </w:r>
    </w:p>
    <w:p>
      <w:pPr>
        <w:pStyle w:val="Heading2"/>
        <w:spacing w:after="130" w:before="320"/>
      </w:pPr>
      <w:r>
        <w:t xml:space="preserve">11. Engagement Models</w:t>
      </w:r>
    </w:p>
    <w:p>
      <w:pPr>
        <w:pStyle w:val="Heading3"/>
        <w:spacing w:after="80" w:before="200"/>
      </w:pPr>
      <w:r>
        <w:t xml:space="preserve">Full Launch Structuring  (8–14 weeks typical)</w:t>
      </w:r>
    </w:p>
    <w:p>
      <w:pPr>
        <w:spacing w:after="140"/>
      </w:pPr>
      <w:r>
        <w:t xml:space="preserve">End-to-end classification review, entity setup, SAFT drafting, whitepaper redlines, and AML policy assembly for a complete pre-launch compliance package.</w:t>
      </w:r>
    </w:p>
    <w:p>
      <w:pPr>
        <w:pStyle w:val="Heading3"/>
        <w:spacing w:after="80" w:before="200"/>
      </w:pPr>
      <w:r>
        <w:t xml:space="preserve">Licensing Preparation Package  (3–9 months (varies by jurisdiction))</w:t>
      </w:r>
    </w:p>
    <w:p>
      <w:pPr>
        <w:spacing w:after="140"/>
      </w:pPr>
      <w:r>
        <w:t xml:space="preserve">Complete document assembly and regulatory coordination for MSB/VASP applications through to regulator sign-off.</w:t>
      </w:r>
    </w:p>
    <w:p>
      <w:pPr>
        <w:pStyle w:val="Heading3"/>
        <w:spacing w:after="80" w:before="200"/>
      </w:pPr>
      <w:r>
        <w:t xml:space="preserve">Point-in-Time Regulatory Audit  (2–4 weeks)</w:t>
      </w:r>
    </w:p>
    <w:p>
      <w:pPr>
        <w:spacing w:after="140"/>
      </w:pPr>
      <w:r>
        <w:t xml:space="preserve">Focused audit of an existing live platform to identify GDPR, tax, or Travel Rule compliance gaps.</w:t>
      </w:r>
    </w:p>
    <w:p>
      <w:pPr>
        <w:pStyle w:val="Heading2"/>
        <w:spacing w:after="130" w:before="320"/>
      </w:pPr>
      <w:r>
        <w:t xml:space="preserve">12. Proof in Production</w:t>
      </w:r>
    </w:p>
    <w:p>
      <w:pPr>
        <w:spacing w:after="140"/>
      </w:pPr>
      <w:r>
        <w:t xml:space="preserve">This page has no natural visual portfolio equivalent (compliance work isn't visually demonstrable the way a product build is) — recommend replacing the standard 'Proof in Production' video-grid section with a short written case reference or simply omitting it here in favor of extending the FAQ section slightly.</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Do you provide formal legal opinions or do you act as securities counsel?</w:t>
      </w:r>
    </w:p>
    <w:p>
      <w:pPr>
        <w:spacing w:after="140"/>
      </w:pPr>
      <w:r>
        <w:t xml:space="preserve">We operate as consultants mapping out technical and regulatory strategy across jurisdictions; we collaborate directly with your locally licensed legal counsel or introduce vetted securities lawyers for formal legal opinions, since Quecko itself isn't a licensed law firm in any jurisdiction and is transparent about that distinction throughout the engagement.</w:t>
      </w:r>
    </w:p>
    <w:p>
      <w:pPr>
        <w:pStyle w:val="Heading3"/>
        <w:spacing w:after="80" w:before="200"/>
      </w:pPr>
      <w:r>
        <w:t xml:space="preserve">Which jurisdictions does your advisory coverage include?</w:t>
      </w:r>
    </w:p>
    <w:p>
      <w:pPr>
        <w:spacing w:after="140"/>
      </w:pPr>
      <w:r>
        <w:t xml:space="preserve">We regularly support projects launching in the US, European Union (under MiCA), UAE (under VARA), Singapore (under MAS), Hong Kong, and offshore hubs including the Cayman Islands and BVI, with jurisdiction-specific legal partners engaged as needed for formal filings.</w:t>
      </w:r>
    </w:p>
    <w:p>
      <w:pPr>
        <w:pStyle w:val="Heading3"/>
        <w:spacing w:after="80" w:before="200"/>
      </w:pPr>
      <w:r>
        <w:t xml:space="preserve">What is the Travel Rule and how does it affect our platform?</w:t>
      </w:r>
    </w:p>
    <w:p>
      <w:pPr>
        <w:spacing w:after="140"/>
      </w:pPr>
      <w:r>
        <w:t xml:space="preserve">The Travel Rule (FATF Recommendation 16) requires virtual asset service providers to collect and share originator and beneficiary information on qualifying transactions above jurisdiction-specific thresholds. We assess whether and how it applies to your specific platform and integrate the data-sharing protocols needed to comply, since this obligation can apply even to platforms that consider themselves purely domestic.</w:t>
      </w:r>
    </w:p>
    <w:p>
      <w:pPr>
        <w:pStyle w:val="Heading3"/>
        <w:spacing w:after="80" w:before="200"/>
      </w:pPr>
      <w:r>
        <w:t xml:space="preserve">How do you reconcile data privacy (GDPR) with AML data collection requirements?</w:t>
      </w:r>
    </w:p>
    <w:p>
      <w:pPr>
        <w:spacing w:after="140"/>
      </w:pPr>
      <w:r>
        <w:t xml:space="preserve">We design data governance workflows that minimize retention periods where possible, enforce appropriate local database hosting, and apply privacy-by-design principles to limit unnecessary cross-border data exposure — since AML's data-collection mandate and GDPR's data-minimization principle genuinely pull in different directions and need deliberate reconciliation, not just a policy document asserting both are satisfied.</w:t>
      </w:r>
    </w:p>
    <w:p>
      <w:pPr>
        <w:pStyle w:val="Heading3"/>
        <w:spacing w:after="80" w:before="200"/>
      </w:pPr>
      <w:r>
        <w:t xml:space="preserve">Does token classification affect how our project is taxed?</w:t>
      </w:r>
    </w:p>
    <w:p>
      <w:pPr>
        <w:spacing w:after="140"/>
      </w:pPr>
      <w:r>
        <w:t xml:space="preserve">Yes. Whether your token is treated as a commodity, security, or utility currency for tax purposes typically follows its broader legal classification, which influences cost-basis accounting treatment and tax nexus determination — we coordinate this analysis jointly with our tax advisory work rather than treating classification and taxation as unrelated questions.</w:t>
      </w:r>
    </w:p>
    <w:p>
      <w:pPr>
        <w:pStyle w:val="Heading3"/>
        <w:spacing w:after="80" w:before="200"/>
      </w:pPr>
      <w:r>
        <w:t xml:space="preserve">Can you help our institutional risk committee write internal policies?</w:t>
      </w:r>
    </w:p>
    <w:p>
      <w:pPr>
        <w:spacing w:after="140"/>
      </w:pPr>
      <w:r>
        <w:t xml:space="preserve">Yes. We draft internal institutional crypto governance frameworks, prepare risk briefing materials for board and committee review, and assist in structuring controlled pilot programs that satisfy an institution's existing risk appetite and approval processes before broader crypto adoption is considered.</w:t>
      </w:r>
    </w:p>
    <w:p>
      <w:pPr>
        <w:pStyle w:val="Heading2"/>
        <w:spacing w:after="130" w:before="320"/>
      </w:pPr>
      <w:r>
        <w:t xml:space="preserve">15. Closing CTA</w:t>
      </w:r>
    </w:p>
    <w:p>
      <w:pPr>
        <w:spacing w:after="140"/>
      </w:pPr>
      <w:r>
        <w:t xml:space="preserve">Ready to secure your regulatory launch before it becomes an enforcement problem?</w:t>
      </w:r>
    </w:p>
    <w:p>
      <w:pPr>
        <w:spacing w:after="160"/>
      </w:pPr>
      <w:r>
        <w:rPr>
          <w:i/>
          <w:iCs/>
        </w:rPr>
        <w:t xml:space="preserve">CTA Buttons: "Talk to a Compliance Advisor"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2026-08-03T14:07:07.513Z</dcterms:created>
  <dcterms:modified xsi:type="dcterms:W3CDTF">2026-08-03T14:07:07.513Z</dcterms:modified>
</cp:coreProperties>
</file>

<file path=docProps/custom.xml><?xml version="1.0" encoding="utf-8"?>
<Properties xmlns="http://schemas.openxmlformats.org/officeDocument/2006/custom-properties" xmlns:vt="http://schemas.openxmlformats.org/officeDocument/2006/docPropsVTypes"/>
</file>