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Web3 Enterprise Solutions</w:t>
      </w:r>
    </w:p>
    <w:p>
      <w:pPr>
        <w:spacing w:after="160"/>
      </w:pPr>
      <w:r>
        <w:rPr>
          <w:i/>
          <w:iCs/>
        </w:rPr>
        <w:t xml:space="preserve">Suggested URL: quecko.com/services/web3/web3-enterprise-solutions</w:t>
      </w:r>
    </w:p>
    <w:p>
      <w:pPr>
        <w:spacing w:after="100"/>
      </w:pPr>
      <w:r>
        <w:rPr>
          <w:b/>
          <w:bCs/>
        </w:rPr>
        <w:t xml:space="preserve">Meta Title: </w:t>
      </w:r>
      <w:r>
        <w:t xml:space="preserve">Web3 Enterprise Blockchain Solutions | Quecko</w:t>
      </w:r>
    </w:p>
    <w:p>
      <w:pPr>
        <w:spacing w:after="100"/>
      </w:pPr>
      <w:r>
        <w:rPr>
          <w:b/>
          <w:bCs/>
        </w:rPr>
        <w:t xml:space="preserve">Meta Description: </w:t>
      </w:r>
      <w:r>
        <w:t xml:space="preserve">Quecko delivers enterprise blockchain solutions — private/consortium networks, government systems, trade finance, insurance, KYC/AML, and carbon credit platforms.</w:t>
      </w:r>
    </w:p>
    <w:p>
      <w:pPr>
        <w:spacing w:after="100"/>
      </w:pPr>
      <w:r>
        <w:rPr>
          <w:b/>
          <w:bCs/>
        </w:rPr>
        <w:t xml:space="preserve">One-Line Positioning: </w:t>
      </w:r>
      <w:r>
        <w:t xml:space="preserve">Built for the board that already approved the budget, not the pilot that never gets funded again.</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network diagram of enterprise nodes (bank, government, corporate icons) connecting into a shared permissioned ledger, with a subtle 'production' status indicator distinct from a 'pilot' one). Headline (2 rotating/A-B testable variants provided below), one-line subhead, dual CTA buttons, and the standard 4-stat ticker row underneath.</w:t>
      </w:r>
    </w:p>
    <w:p>
      <w:pPr>
        <w:pStyle w:val="Heading3"/>
        <w:spacing w:after="80" w:before="200"/>
      </w:pPr>
      <w:r>
        <w:t xml:space="preserve">2. Boardrooms Are Done Asking 'Is Blockchain Real?'</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Enterprise Pilots Die Before Production</w:t>
      </w:r>
    </w:p>
    <w:p>
      <w:pPr>
        <w:spacing w:after="140"/>
      </w:pPr>
      <w:r>
        <w:t xml:space="preserve">Centered narrative paragraph, followed by a two-column "Old Way vs. Quecko Way" comparison list — undefined</w:t>
      </w:r>
    </w:p>
    <w:p>
      <w:pPr>
        <w:pStyle w:val="Heading3"/>
        <w:spacing w:after="80" w:before="200"/>
      </w:pPr>
      <w:r>
        <w:t xml:space="preserve">4. From Discovery to Production Rollout</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Enterprise Delivery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Where Enterprise Blockchain Projects Stall</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Enterprises &amp; Governments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Past the Pilot. Into Production.</w:t>
      </w:r>
    </w:p>
    <w:p>
      <w:pPr>
        <w:pStyle w:val="Heading3"/>
        <w:spacing w:after="80" w:before="200"/>
      </w:pPr>
      <w:r>
        <w:t xml:space="preserve">Headline — Option B</w:t>
      </w:r>
    </w:p>
    <w:p>
      <w:pPr>
        <w:spacing w:after="140"/>
      </w:pPr>
      <w:r>
        <w:t xml:space="preserve">Enterprise Blockchain That Survives Contact With a Legacy System.</w:t>
      </w:r>
    </w:p>
    <w:p>
      <w:pPr>
        <w:pStyle w:val="Heading3"/>
        <w:spacing w:after="80" w:before="200"/>
      </w:pPr>
      <w:r>
        <w:t xml:space="preserve">Subheadline</w:t>
      </w:r>
    </w:p>
    <w:p>
      <w:pPr>
        <w:spacing w:after="140"/>
      </w:pPr>
      <w:r>
        <w:t xml:space="preserve">Quecko builds enterprise-grade blockchain solutions for organizations that need more than a proof-of-concept — private and consortium networks, government systems, trade finance platforms, insurance products, and compliance infrastructure engineered for production, not a pitch deck.</w:t>
      </w:r>
    </w:p>
    <w:p>
      <w:pPr>
        <w:spacing w:after="160"/>
      </w:pPr>
      <w:r>
        <w:rPr>
          <w:i/>
          <w:iCs/>
        </w:rPr>
        <w:t xml:space="preserve">CTA Buttons: "Talk to an Enterprise Solutions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Boardrooms Are Done Asking 'Is Blockchain Real?'</w:t>
      </w:r>
    </w:p>
    <w:p>
      <w:pPr>
        <w:spacing w:after="140"/>
      </w:pPr>
      <w:r>
        <w:t xml:space="preserve">Enterprise and government blockchain adoption has moved decisively past the skepticism phase — the question boardrooms and procurement committees now ask isn't whether the technology is legitimate, it's which vendor can actually deliver a production system that integrates cleanly with existing ERP infrastructure and survives a full audit cycle, rather than another six-figure proof-of-concept that quietly gets shelved after the pilot presentation. That shift has raised the bar for delivery partners considerably, rewarding teams with genuine production engineering discipline over those who only know how to build an impressive demo.</w:t>
      </w:r>
    </w:p>
    <w:p>
      <w:pPr>
        <w:pStyle w:val="Heading2"/>
        <w:spacing w:after="130" w:before="320"/>
      </w:pPr>
      <w:r>
        <w:t xml:space="preserve">3. Why Enterprise Pilots Die Before Production</w:t>
      </w:r>
    </w:p>
    <w:p>
      <w:pPr>
        <w:spacing w:after="140"/>
      </w:pPr>
      <w:r>
        <w:t xml:space="preserve">Most enterprise blockchain pilots die in the gap between demo and production — they work beautifully with clean, curated test data and three cooperative pilot participants, then fall apart the moment real ERP integrations, dozens of genuinely independent stakeholders, and messy legacy data formats enter the picture. Getting from pilot to production requires engineering discipline that most Web3-native teams haven't had to exercise, since their prior experience skews toward public-chain projects with far simpler integration requirements — and it requires a level of documentation and audit-readiness that most enterprise vendors, in turn, haven't had to justify to a genuinely skeptical board or procurement committee.</w:t>
      </w:r>
    </w:p>
    <w:p>
      <w:pPr>
        <w:pStyle w:val="Heading3"/>
        <w:spacing w:after="80" w:before="200"/>
      </w:pPr>
      <w:r>
        <w:t xml:space="preserve">The Old Way</w:t>
      </w:r>
    </w:p>
    <w:p>
      <w:pPr>
        <w:pStyle w:val="ListParagraph"/>
        <w:numPr>
          <w:ilvl w:val="0"/>
          <w:numId w:val="2"/>
        </w:numPr>
        <w:spacing w:after="70"/>
      </w:pPr>
      <w:r>
        <w:t xml:space="preserve">Build a polished demo with clean, curated data and a handful of cooperative pilot participants</w:t>
      </w:r>
    </w:p>
    <w:p>
      <w:pPr>
        <w:pStyle w:val="ListParagraph"/>
        <w:numPr>
          <w:ilvl w:val="0"/>
          <w:numId w:val="2"/>
        </w:numPr>
        <w:spacing w:after="70"/>
      </w:pPr>
      <w:r>
        <w:t xml:space="preserve">Treat ERP and legacy system integration as a later phase, after the pilot succeeds</w:t>
      </w:r>
    </w:p>
    <w:p>
      <w:pPr>
        <w:pStyle w:val="ListParagraph"/>
        <w:numPr>
          <w:ilvl w:val="0"/>
          <w:numId w:val="2"/>
        </w:numPr>
        <w:spacing w:after="70"/>
      </w:pPr>
      <w:r>
        <w:t xml:space="preserve">Design governance as an afterthought once multiple stakeholders are already involved</w:t>
      </w:r>
    </w:p>
    <w:p>
      <w:pPr>
        <w:pStyle w:val="ListParagraph"/>
        <w:numPr>
          <w:ilvl w:val="0"/>
          <w:numId w:val="2"/>
        </w:numPr>
        <w:spacing w:after="70"/>
      </w:pPr>
      <w:r>
        <w:t xml:space="preserve">Underestimate the security and audit documentation enterprise procurement actually requires</w:t>
      </w:r>
    </w:p>
    <w:p>
      <w:pPr>
        <w:pStyle w:val="Heading3"/>
        <w:spacing w:after="80" w:before="200"/>
      </w:pPr>
      <w:r>
        <w:t xml:space="preserve">The Quecko Way</w:t>
      </w:r>
    </w:p>
    <w:p>
      <w:pPr>
        <w:pStyle w:val="ListParagraph"/>
        <w:numPr>
          <w:ilvl w:val="0"/>
          <w:numId w:val="2"/>
        </w:numPr>
        <w:spacing w:after="70"/>
      </w:pPr>
      <w:r>
        <w:t xml:space="preserve">Validate the use case and integration requirements with real (not curated) data from day one</w:t>
      </w:r>
    </w:p>
    <w:p>
      <w:pPr>
        <w:pStyle w:val="ListParagraph"/>
        <w:numPr>
          <w:ilvl w:val="0"/>
          <w:numId w:val="2"/>
        </w:numPr>
        <w:spacing w:after="70"/>
      </w:pPr>
      <w:r>
        <w:t xml:space="preserve">Design ERP and legacy system integration as a core architectural requirement, not a later phase</w:t>
      </w:r>
    </w:p>
    <w:p>
      <w:pPr>
        <w:pStyle w:val="ListParagraph"/>
        <w:numPr>
          <w:ilvl w:val="0"/>
          <w:numId w:val="2"/>
        </w:numPr>
        <w:spacing w:after="70"/>
      </w:pPr>
      <w:r>
        <w:t xml:space="preserve">Treat multi-stakeholder governance design as a first-class deliverable equal in importance to the technical build</w:t>
      </w:r>
    </w:p>
    <w:p>
      <w:pPr>
        <w:pStyle w:val="ListParagraph"/>
        <w:numPr>
          <w:ilvl w:val="0"/>
          <w:numId w:val="2"/>
        </w:numPr>
        <w:spacing w:after="70"/>
      </w:pPr>
      <w:r>
        <w:t xml:space="preserve">Build documentation and audit trails to the standard enterprise procurement and risk committees actually expect</w:t>
      </w:r>
    </w:p>
    <w:p>
      <w:pPr>
        <w:pStyle w:val="Heading2"/>
        <w:spacing w:after="130" w:before="320"/>
      </w:pPr>
      <w:r>
        <w:t xml:space="preserve">4. From Discovery to Production Rollout</w:t>
      </w:r>
    </w:p>
    <w:p>
      <w:pPr>
        <w:spacing w:after="60" w:before="160"/>
      </w:pPr>
      <w:r>
        <w:rPr>
          <w:b/>
          <w:bCs/>
          <w:sz w:val="24"/>
          <w:szCs w:val="24"/>
        </w:rPr>
        <w:t xml:space="preserve">1. Discovery &amp; Use-Case Validation</w:t>
      </w:r>
    </w:p>
    <w:p>
      <w:pPr>
        <w:spacing w:after="140"/>
      </w:pPr>
      <w:r>
        <w:t xml:space="preserve">Map the business process, stakeholders, and data-sharing requirements — and honestly validate that blockchain is the right tool for the job before committing meaningful budget to a build.</w:t>
      </w:r>
    </w:p>
    <w:p>
      <w:pPr>
        <w:spacing w:after="60" w:before="160"/>
      </w:pPr>
      <w:r>
        <w:rPr>
          <w:b/>
          <w:bCs/>
          <w:sz w:val="24"/>
          <w:szCs w:val="24"/>
        </w:rPr>
        <w:t xml:space="preserve">2. Architecture &amp; Governance Design</w:t>
      </w:r>
    </w:p>
    <w:p>
      <w:pPr>
        <w:spacing w:after="140"/>
      </w:pPr>
      <w:r>
        <w:t xml:space="preserve">Design the network architecture (private, consortium, or permissioned), the multi-stakeholder governance model, and the enterprise system integration plan together, since these three decisions are deeply interdependent.</w:t>
      </w:r>
    </w:p>
    <w:p>
      <w:pPr>
        <w:spacing w:after="60" w:before="160"/>
      </w:pPr>
      <w:r>
        <w:rPr>
          <w:b/>
          <w:bCs/>
          <w:sz w:val="24"/>
          <w:szCs w:val="24"/>
        </w:rPr>
        <w:t xml:space="preserve">3. Pilot Build &amp; Stakeholder Onboarding</w:t>
      </w:r>
    </w:p>
    <w:p>
      <w:pPr>
        <w:spacing w:after="140"/>
      </w:pPr>
      <w:r>
        <w:t xml:space="preserve">Build smart contracts and integrations with a limited, real stakeholder group to validate the design under genuine operating conditions, not simplified demo conditions.</w:t>
      </w:r>
    </w:p>
    <w:p>
      <w:pPr>
        <w:spacing w:after="60" w:before="160"/>
      </w:pPr>
      <w:r>
        <w:rPr>
          <w:b/>
          <w:bCs/>
          <w:sz w:val="24"/>
          <w:szCs w:val="24"/>
        </w:rPr>
        <w:t xml:space="preserve">4. Security &amp; Compliance Review</w:t>
      </w:r>
    </w:p>
    <w:p>
      <w:pPr>
        <w:spacing w:after="140"/>
      </w:pPr>
      <w:r>
        <w:t xml:space="preserve">Independent security audit and a documentation review specifically structured to satisfy enterprise risk committee and procurement audit requirements before broader rollout.</w:t>
      </w:r>
    </w:p>
    <w:p>
      <w:pPr>
        <w:spacing w:after="60" w:before="160"/>
      </w:pPr>
      <w:r>
        <w:rPr>
          <w:b/>
          <w:bCs/>
          <w:sz w:val="24"/>
          <w:szCs w:val="24"/>
        </w:rPr>
        <w:t xml:space="preserve">5. Production Rollout</w:t>
      </w:r>
    </w:p>
    <w:p>
      <w:pPr>
        <w:spacing w:after="140"/>
      </w:pPr>
      <w:r>
        <w:t xml:space="preserve">Full stakeholder onboarding, production deployment, and ongoing network operations support as the system moves from validated pilot to genuine day-to-day business infrastructure.</w:t>
      </w:r>
    </w:p>
    <w:p>
      <w:pPr>
        <w:pStyle w:val="Heading2"/>
        <w:spacing w:after="130" w:before="320"/>
      </w:pPr>
      <w:r>
        <w:t xml:space="preserve">5. Capabilities</w:t>
      </w:r>
    </w:p>
    <w:p>
      <w:pPr>
        <w:pStyle w:val="Heading3"/>
        <w:spacing w:after="80" w:before="200"/>
      </w:pPr>
      <w:r>
        <w:t xml:space="preserve">Enterprise Blockchain Networks</w:t>
      </w:r>
    </w:p>
    <w:p>
      <w:pPr>
        <w:spacing w:after="140"/>
      </w:pPr>
      <w:r>
        <w:t xml:space="preserve">Private and consortium blockchain networks (Hyperledger, Corda, permissioned EVM) for supply chain traceability, multi-party workflows, and secure inter-organizational data sharing.</w:t>
      </w:r>
    </w:p>
    <w:p>
      <w:pPr>
        <w:pStyle w:val="Heading3"/>
        <w:spacing w:after="80" w:before="200"/>
      </w:pPr>
      <w:r>
        <w:t xml:space="preserve">Government Blockchain Solutions</w:t>
      </w:r>
    </w:p>
    <w:p>
      <w:pPr>
        <w:spacing w:after="140"/>
      </w:pPr>
      <w:r>
        <w:t xml:space="preserve">Digital identity, land registry, e-voting, and public records infrastructure built to institutional-grade privacy, auditability, and long-term maintainability standards.</w:t>
      </w:r>
    </w:p>
    <w:p>
      <w:pPr>
        <w:pStyle w:val="Heading3"/>
        <w:spacing w:after="80" w:before="200"/>
      </w:pPr>
      <w:r>
        <w:t xml:space="preserve">Blockchain Trade Finance</w:t>
      </w:r>
    </w:p>
    <w:p>
      <w:pPr>
        <w:spacing w:after="140"/>
      </w:pPr>
      <w:r>
        <w:t xml:space="preserve">Digital letters of credit, multi-party trade document workflows, and smart contract-based settlement across banks and trading partners, replacing paper-heavy processes prone to fraud and delay.</w:t>
      </w:r>
    </w:p>
    <w:p>
      <w:pPr>
        <w:pStyle w:val="Heading3"/>
        <w:spacing w:after="80" w:before="200"/>
      </w:pPr>
      <w:r>
        <w:t xml:space="preserve">Blockchain Insurance</w:t>
      </w:r>
    </w:p>
    <w:p>
      <w:pPr>
        <w:spacing w:after="140"/>
      </w:pPr>
      <w:r>
        <w:t xml:space="preserve">Parametric insurance products with automated, oracle-triggered claims and transparent, auditable risk pools that settle in hours rather than the weeks a manual claims process typically requires.</w:t>
      </w:r>
    </w:p>
    <w:p>
      <w:pPr>
        <w:pStyle w:val="Heading3"/>
        <w:spacing w:after="80" w:before="200"/>
      </w:pPr>
      <w:r>
        <w:t xml:space="preserve">KYC &amp; AML Platforms</w:t>
      </w:r>
    </w:p>
    <w:p>
      <w:pPr>
        <w:spacing w:after="140"/>
      </w:pPr>
      <w:r>
        <w:t xml:space="preserve">Identity verification, transaction monitoring, and sanctions screening infrastructure built directly into exchanges, neobanks, and stablecoin products from day one.</w:t>
      </w:r>
    </w:p>
    <w:p>
      <w:pPr>
        <w:pStyle w:val="Heading3"/>
        <w:spacing w:after="80" w:before="200"/>
      </w:pPr>
      <w:r>
        <w:t xml:space="preserve">Carbon Credit Platforms</w:t>
      </w:r>
    </w:p>
    <w:p>
      <w:pPr>
        <w:spacing w:after="140"/>
      </w:pPr>
      <w:r>
        <w:t xml:space="preserve">Tokenized carbon credit registries with automated retirement tracking and structural double-counting prevention, addressing the credibility problem currently undermining voluntary carbon markets.</w:t>
      </w:r>
    </w:p>
    <w:p>
      <w:pPr>
        <w:pStyle w:val="Heading2"/>
        <w:spacing w:after="130" w:before="320"/>
      </w:pPr>
      <w:r>
        <w:t xml:space="preserve">6. Enterprise Delivery Benchmarks We Build To</w:t>
      </w:r>
    </w:p>
    <w:p>
      <w:pPr>
        <w:pStyle w:val="ListParagraph"/>
        <w:numPr>
          <w:ilvl w:val="0"/>
          <w:numId w:val="2"/>
        </w:numPr>
        <w:spacing w:after="80"/>
      </w:pPr>
      <w:r>
        <w:rPr>
          <w:b/>
          <w:bCs/>
        </w:rPr>
        <w:t xml:space="preserve">Real-data pilot validation — </w:t>
      </w:r>
      <w:r>
        <w:t xml:space="preserve">use cases tested against genuine, uncurated stakeholder data before scaling</w:t>
      </w:r>
    </w:p>
    <w:p>
      <w:pPr>
        <w:pStyle w:val="ListParagraph"/>
        <w:numPr>
          <w:ilvl w:val="0"/>
          <w:numId w:val="2"/>
        </w:numPr>
        <w:spacing w:after="80"/>
      </w:pPr>
      <w:r>
        <w:rPr>
          <w:b/>
          <w:bCs/>
        </w:rPr>
        <w:t xml:space="preserve">ERP integration as core architecture — </w:t>
      </w:r>
      <w:r>
        <w:t xml:space="preserve">not a later-phase afterthought discovered mid-project</w:t>
      </w:r>
    </w:p>
    <w:p>
      <w:pPr>
        <w:pStyle w:val="ListParagraph"/>
        <w:numPr>
          <w:ilvl w:val="0"/>
          <w:numId w:val="2"/>
        </w:numPr>
        <w:spacing w:after="80"/>
      </w:pPr>
      <w:r>
        <w:rPr>
          <w:b/>
          <w:bCs/>
        </w:rPr>
        <w:t xml:space="preserve">Governance as a first-class deliverable — </w:t>
      </w:r>
      <w:r>
        <w:t xml:space="preserve">multi-stakeholder decision rights designed with the same rigor as the technical build</w:t>
      </w:r>
    </w:p>
    <w:p>
      <w:pPr>
        <w:pStyle w:val="ListParagraph"/>
        <w:numPr>
          <w:ilvl w:val="0"/>
          <w:numId w:val="2"/>
        </w:numPr>
        <w:spacing w:after="80"/>
      </w:pPr>
      <w:r>
        <w:rPr>
          <w:b/>
          <w:bCs/>
        </w:rPr>
        <w:t xml:space="preserve">Audit-ready documentation — </w:t>
      </w:r>
      <w:r>
        <w:t xml:space="preserve">structured to satisfy enterprise risk committee and procurement review</w:t>
      </w:r>
    </w:p>
    <w:p>
      <w:pPr>
        <w:pStyle w:val="Heading2"/>
        <w:spacing w:after="130" w:before="320"/>
      </w:pPr>
      <w:r>
        <w:t xml:space="preserve">7. Ecosystem / Chain Coverage</w:t>
      </w:r>
    </w:p>
    <w:p>
      <w:pPr>
        <w:pStyle w:val="ListParagraph"/>
        <w:numPr>
          <w:ilvl w:val="0"/>
          <w:numId w:val="2"/>
        </w:numPr>
        <w:spacing w:after="80"/>
      </w:pPr>
      <w:r>
        <w:rPr>
          <w:b/>
          <w:bCs/>
        </w:rPr>
        <w:t xml:space="preserve">Hyperledger Fabric — </w:t>
      </w:r>
      <w:r>
        <w:t xml:space="preserve">Permissioned consortium network framework for enterprise multi-party workflows.</w:t>
      </w:r>
    </w:p>
    <w:p>
      <w:pPr>
        <w:pStyle w:val="ListParagraph"/>
        <w:numPr>
          <w:ilvl w:val="0"/>
          <w:numId w:val="2"/>
        </w:numPr>
        <w:spacing w:after="80"/>
      </w:pPr>
      <w:r>
        <w:rPr>
          <w:b/>
          <w:bCs/>
        </w:rPr>
        <w:t xml:space="preserve">R3 Corda — </w:t>
      </w:r>
      <w:r>
        <w:t xml:space="preserve">Privacy-preserving distributed ledger for financial and legal use cases requiring selective data visibility.</w:t>
      </w:r>
    </w:p>
    <w:p>
      <w:pPr>
        <w:pStyle w:val="ListParagraph"/>
        <w:numPr>
          <w:ilvl w:val="0"/>
          <w:numId w:val="2"/>
        </w:numPr>
        <w:spacing w:after="80"/>
      </w:pPr>
      <w:r>
        <w:rPr>
          <w:b/>
          <w:bCs/>
        </w:rPr>
        <w:t xml:space="preserve">Permissioned EVM — </w:t>
      </w:r>
      <w:r>
        <w:t xml:space="preserve">Enterprise-grade private Ethereum-compatible networks for teams wanting EVM tooling compatibility with restricted access.</w:t>
      </w:r>
    </w:p>
    <w:p>
      <w:pPr>
        <w:pStyle w:val="Heading2"/>
        <w:spacing w:after="130" w:before="320"/>
      </w:pPr>
      <w:r>
        <w:t xml:space="preserve">8. Technology Stack</w:t>
      </w:r>
    </w:p>
    <w:p>
      <w:pPr>
        <w:pStyle w:val="Heading3"/>
        <w:spacing w:after="80" w:before="200"/>
      </w:pPr>
      <w:r>
        <w:t xml:space="preserve">Frameworks</w:t>
      </w:r>
    </w:p>
    <w:p>
      <w:pPr>
        <w:spacing w:after="140"/>
      </w:pPr>
      <w:r>
        <w:t xml:space="preserve">Hyperledger Fabric, R3 Corda, Permissioned EVM (Quorum/Besu)</w:t>
      </w:r>
    </w:p>
    <w:p>
      <w:pPr>
        <w:pStyle w:val="Heading3"/>
        <w:spacing w:after="80" w:before="200"/>
      </w:pPr>
      <w:r>
        <w:t xml:space="preserve">Integration</w:t>
      </w:r>
    </w:p>
    <w:p>
      <w:pPr>
        <w:spacing w:after="140"/>
      </w:pPr>
      <w:r>
        <w:t xml:space="preserve">ERP/SAP connectors, REST/GraphQL API layers</w:t>
      </w:r>
    </w:p>
    <w:p>
      <w:pPr>
        <w:pStyle w:val="Heading3"/>
        <w:spacing w:after="80" w:before="200"/>
      </w:pPr>
      <w:r>
        <w:t xml:space="preserve">Identity &amp; Compliance</w:t>
      </w:r>
    </w:p>
    <w:p>
      <w:pPr>
        <w:spacing w:after="140"/>
      </w:pPr>
      <w:r>
        <w:t xml:space="preserve">Verifiable credentials, Sanctions/PEP screening APIs</w:t>
      </w:r>
    </w:p>
    <w:p>
      <w:pPr>
        <w:pStyle w:val="Heading3"/>
        <w:spacing w:after="80" w:before="200"/>
      </w:pPr>
      <w:r>
        <w:t xml:space="preserve">Infrastructure</w:t>
      </w:r>
    </w:p>
    <w:p>
      <w:pPr>
        <w:spacing w:after="140"/>
      </w:pPr>
      <w:r>
        <w:t xml:space="preserve">Kubernetes, Docker, Terraform</w:t>
      </w:r>
    </w:p>
    <w:p>
      <w:pPr>
        <w:pStyle w:val="Heading2"/>
        <w:spacing w:after="130" w:before="320"/>
      </w:pPr>
      <w:r>
        <w:t xml:space="preserve">9. Where Enterprise Blockchain Projects Stall</w:t>
      </w:r>
    </w:p>
    <w:p>
      <w:pPr>
        <w:pStyle w:val="Heading3"/>
        <w:spacing w:after="80" w:before="200"/>
      </w:pPr>
      <w:r>
        <w:t xml:space="preserve">Demo Data Hiding Real Integration Complexity</w:t>
      </w:r>
    </w:p>
    <w:p>
      <w:pPr>
        <w:spacing w:after="140"/>
      </w:pPr>
      <w:r>
        <w:t xml:space="preserve">Pilots validated on clean, curated data routinely fail once connected to the messy formats and edge cases present in real legacy ERP systems. We insist on validating against genuine stakeholder data as early as possible, even in the pilot phase.</w:t>
      </w:r>
    </w:p>
    <w:p>
      <w:pPr>
        <w:pStyle w:val="Heading3"/>
        <w:spacing w:after="80" w:before="200"/>
      </w:pPr>
      <w:r>
        <w:t xml:space="preserve">Governance Designed After Stakeholders Are Already Committed</w:t>
      </w:r>
    </w:p>
    <w:p>
      <w:pPr>
        <w:spacing w:after="140"/>
      </w:pPr>
      <w:r>
        <w:t xml:space="preserve">Multi-party networks that skip explicit governance design often stall in disputes over decision rights once real business stakes emerge. We treat governance model design as equal in priority to the technical architecture from the outset.</w:t>
      </w:r>
    </w:p>
    <w:p>
      <w:pPr>
        <w:pStyle w:val="Heading3"/>
        <w:spacing w:after="80" w:before="200"/>
      </w:pPr>
      <w:r>
        <w:t xml:space="preserve">Underestimating Procurement's Documentation Bar</w:t>
      </w:r>
    </w:p>
    <w:p>
      <w:pPr>
        <w:spacing w:after="140"/>
      </w:pPr>
      <w:r>
        <w:t xml:space="preserve">Enterprise and government procurement processes routinely require far more security and audit documentation than a typical Web3 project anticipates, stalling projects at the approval stage. We build this documentation in parallel with development, not as a rushed step at the end.</w:t>
      </w:r>
    </w:p>
    <w:p>
      <w:pPr>
        <w:pStyle w:val="Heading3"/>
        <w:spacing w:after="80" w:before="200"/>
      </w:pPr>
      <w:r>
        <w:t xml:space="preserve">No Clear Path From Pilot to Production Budget</w:t>
      </w:r>
    </w:p>
    <w:p>
      <w:pPr>
        <w:spacing w:after="140"/>
      </w:pPr>
      <w:r>
        <w:t xml:space="preserve">Pilots that succeed technically sometimes still stall because no one planned the budget and governance approval path for scaling beyond the pilot. We build this transition plan into the engagement from the discovery phase.</w:t>
      </w:r>
    </w:p>
    <w:p>
      <w:pPr>
        <w:pStyle w:val="Heading2"/>
        <w:spacing w:after="130" w:before="320"/>
      </w:pPr>
      <w:r>
        <w:t xml:space="preserve">10. Why Enterprises &amp; Governments Choose Quecko</w:t>
      </w:r>
    </w:p>
    <w:p>
      <w:pPr>
        <w:pStyle w:val="ListParagraph"/>
        <w:numPr>
          <w:ilvl w:val="0"/>
          <w:numId w:val="2"/>
        </w:numPr>
        <w:spacing w:after="80"/>
      </w:pPr>
      <w:r>
        <w:rPr>
          <w:b/>
          <w:bCs/>
        </w:rPr>
        <w:t xml:space="preserve">Production-Focused, Not Demo-Focused — </w:t>
      </w:r>
      <w:r>
        <w:t xml:space="preserve">Every architecture decision is made with a real, sustained rollout in mind, not a pitch-deck proof-of-concept designed to impress a steering committee once.</w:t>
      </w:r>
    </w:p>
    <w:p>
      <w:pPr>
        <w:pStyle w:val="ListParagraph"/>
        <w:numPr>
          <w:ilvl w:val="0"/>
          <w:numId w:val="2"/>
        </w:numPr>
        <w:spacing w:after="80"/>
      </w:pPr>
      <w:r>
        <w:rPr>
          <w:b/>
          <w:bCs/>
        </w:rPr>
        <w:t xml:space="preserve">Integration Expertise — </w:t>
      </w:r>
      <w:r>
        <w:t xml:space="preserve">Deep, practical experience connecting blockchain networks to the ERP and legacy systems enterprises actually run their operations on, not idealized greenfield environments.</w:t>
      </w:r>
    </w:p>
    <w:p>
      <w:pPr>
        <w:pStyle w:val="ListParagraph"/>
        <w:numPr>
          <w:ilvl w:val="0"/>
          <w:numId w:val="2"/>
        </w:numPr>
        <w:spacing w:after="80"/>
      </w:pPr>
      <w:r>
        <w:rPr>
          <w:b/>
          <w:bCs/>
        </w:rPr>
        <w:t xml:space="preserve">Governance-Aware — </w:t>
      </w:r>
      <w:r>
        <w:t xml:space="preserve">Multi-stakeholder networks succeed or fail on governance design, which we treat as a first-class deliverable rather than a footnote to the technical architecture document.</w:t>
      </w:r>
    </w:p>
    <w:p>
      <w:pPr>
        <w:pStyle w:val="ListParagraph"/>
        <w:numPr>
          <w:ilvl w:val="0"/>
          <w:numId w:val="2"/>
        </w:numPr>
        <w:spacing w:after="80"/>
      </w:pPr>
      <w:r>
        <w:rPr>
          <w:b/>
          <w:bCs/>
        </w:rPr>
        <w:t xml:space="preserve">Institutional-Grade Discipline — </w:t>
      </w:r>
      <w:r>
        <w:t xml:space="preserve">Documentation and audit standards suited to public-sector procurement and enterprise risk committee review, built in from the start rather than assembled hastily when first requested.</w:t>
      </w:r>
    </w:p>
    <w:p>
      <w:pPr>
        <w:pStyle w:val="Heading2"/>
        <w:spacing w:after="130" w:before="320"/>
      </w:pPr>
      <w:r>
        <w:t xml:space="preserve">11. Engagement Models</w:t>
      </w:r>
    </w:p>
    <w:p>
      <w:pPr>
        <w:pStyle w:val="Heading3"/>
        <w:spacing w:after="80" w:before="200"/>
      </w:pPr>
      <w:r>
        <w:t xml:space="preserve">Architecture &amp; Pilot  (3–6 months)</w:t>
      </w:r>
    </w:p>
    <w:p>
      <w:pPr>
        <w:spacing w:after="140"/>
      </w:pPr>
      <w:r>
        <w:t xml:space="preserve">Discovery, design, and limited pilot deployment specifically structured to validate the use case before full budget commitment.</w:t>
      </w:r>
    </w:p>
    <w:p>
      <w:pPr>
        <w:pStyle w:val="Heading3"/>
        <w:spacing w:after="80" w:before="200"/>
      </w:pPr>
      <w:r>
        <w:t xml:space="preserve">Full Network Build  (6–14 months typical)</w:t>
      </w:r>
    </w:p>
    <w:p>
      <w:pPr>
        <w:spacing w:after="140"/>
      </w:pPr>
      <w:r>
        <w:t xml:space="preserve">End-to-end production network development with full stakeholder onboarding and integration.</w:t>
      </w:r>
    </w:p>
    <w:p>
      <w:pPr>
        <w:pStyle w:val="Heading3"/>
        <w:spacing w:after="80" w:before="200"/>
      </w:pPr>
      <w:r>
        <w:t xml:space="preserve">Ongoing Network Operations  (Ongoing retainer)</w:t>
      </w:r>
    </w:p>
    <w:p>
      <w:pPr>
        <w:spacing w:after="140"/>
      </w:pPr>
      <w:r>
        <w:t xml:space="preserve">Node infrastructure management, upgrades, and operational support after production launch.</w:t>
      </w:r>
    </w:p>
    <w:p>
      <w:pPr>
        <w:pStyle w:val="Heading2"/>
        <w:spacing w:after="130" w:before="320"/>
      </w:pPr>
      <w:r>
        <w:t xml:space="preserve">12. Proof in Production</w:t>
      </w:r>
    </w:p>
    <w:p>
      <w:pPr>
        <w:spacing w:after="140"/>
      </w:pPr>
      <w:r>
        <w:t xml:space="preserve">Pull any enterprise, fintech, or multi-party portfolio pieces available; if the portfolio skews consumer-facing, flag to the dev team that a dedicated enterprise case study is a high-priority asset to commission for this page specifically, since enterprise buyers weight prior institutional delivery heavily.</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Do we need a public blockchain for this?</w:t>
      </w:r>
    </w:p>
    <w:p>
      <w:pPr>
        <w:spacing w:after="140"/>
      </w:pPr>
      <w:r>
        <w:t xml:space="preserve">Usually not — most enterprise use cases run best on permissioned or consortium networks with controlled participant access, since public blockchain's core value proposition (permissionless, trustless participation by anyone) is often irrelevant or even undesirable for a defined set of known business partners.</w:t>
      </w:r>
    </w:p>
    <w:p>
      <w:pPr>
        <w:pStyle w:val="Heading3"/>
        <w:spacing w:after="80" w:before="200"/>
      </w:pPr>
      <w:r>
        <w:t xml:space="preserve">Can this integrate with our existing enterprise software?</w:t>
      </w:r>
    </w:p>
    <w:p>
      <w:pPr>
        <w:spacing w:after="140"/>
      </w:pPr>
      <w:r>
        <w:t xml:space="preserve">Yes, integration with ERP, CRM, and legacy systems is treated as a core architectural requirement from the discovery phase, not a later integration task — we've found this is the single most common point of failure in enterprise blockchain projects that don't originate with this priority built in.</w:t>
      </w:r>
    </w:p>
    <w:p>
      <w:pPr>
        <w:pStyle w:val="Heading3"/>
        <w:spacing w:after="80" w:before="200"/>
      </w:pPr>
      <w:r>
        <w:t xml:space="preserve">How long does a typical pilot take before production rollout?</w:t>
      </w:r>
    </w:p>
    <w:p>
      <w:pPr>
        <w:spacing w:after="140"/>
      </w:pPr>
      <w:r>
        <w:t xml:space="preserve">Pilots typically run 3–6 months with a limited, real stakeholder group before scaling to full production, though this varies significantly based on how many independent organizations need to be onboarded and how complex the underlying legacy system integrations are.</w:t>
      </w:r>
    </w:p>
    <w:p>
      <w:pPr>
        <w:pStyle w:val="Heading3"/>
        <w:spacing w:after="80" w:before="200"/>
      </w:pPr>
      <w:r>
        <w:t xml:space="preserve">Is citizen data stored on a public blockchain for government projects?</w:t>
      </w:r>
    </w:p>
    <w:p>
      <w:pPr>
        <w:spacing w:after="140"/>
      </w:pPr>
      <w:r>
        <w:t xml:space="preserve">No — government deployments use permissioned networks with strict data governance and access controls, ensuring citizen data visibility is limited to authorized parties rather than being broadly viewable the way a public blockchain's transaction data typically is.</w:t>
      </w:r>
    </w:p>
    <w:p>
      <w:pPr>
        <w:pStyle w:val="Heading3"/>
        <w:spacing w:after="80" w:before="200"/>
      </w:pPr>
      <w:r>
        <w:t xml:space="preserve">How do you handle disputes between stakeholders in a consortium network?</w:t>
      </w:r>
    </w:p>
    <w:p>
      <w:pPr>
        <w:spacing w:after="140"/>
      </w:pPr>
      <w:r>
        <w:t xml:space="preserve">Through governance mechanisms designed explicitly during the architecture phase — typically involving defined voting rights, escalation procedures, and sometimes a neutral arbitration process — built before the network launches rather than negotiated reactively once a real dispute occurs.</w:t>
      </w:r>
    </w:p>
    <w:p>
      <w:pPr>
        <w:pStyle w:val="Heading3"/>
        <w:spacing w:after="80" w:before="200"/>
      </w:pPr>
      <w:r>
        <w:t xml:space="preserve">What happens if one stakeholder in a consortium network wants to leave later?</w:t>
      </w:r>
    </w:p>
    <w:p>
      <w:pPr>
        <w:spacing w:after="140"/>
      </w:pPr>
      <w:r>
        <w:t xml:space="preserve">We design consortium governance to account for participant offboarding from the start, including data access revocation and continuity planning for the remaining network, so an individual participant's exit doesn't destabilize the entire system.</w:t>
      </w:r>
    </w:p>
    <w:p>
      <w:pPr>
        <w:pStyle w:val="Heading2"/>
        <w:spacing w:after="130" w:before="320"/>
      </w:pPr>
      <w:r>
        <w:t xml:space="preserve">15. Closing CTA</w:t>
      </w:r>
    </w:p>
    <w:p>
      <w:pPr>
        <w:spacing w:after="140"/>
      </w:pPr>
      <w:r>
        <w:t xml:space="preserve">Ready to move a blockchain initiative past the pilot stage and into genuine production?</w:t>
      </w:r>
    </w:p>
    <w:p>
      <w:pPr>
        <w:spacing w:after="160"/>
      </w:pPr>
      <w:r>
        <w:rPr>
          <w:i/>
          <w:iCs/>
        </w:rPr>
        <w:t xml:space="preserve">CTA Buttons: "Talk to an Enterprise Solutions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2026-08-03T14:07:07.480Z</dcterms:created>
  <dcterms:modified xsi:type="dcterms:W3CDTF">2026-08-03T14:07:07.480Z</dcterms:modified>
</cp:coreProperties>
</file>

<file path=docProps/custom.xml><?xml version="1.0" encoding="utf-8"?>
<Properties xmlns="http://schemas.openxmlformats.org/officeDocument/2006/custom-properties" xmlns:vt="http://schemas.openxmlformats.org/officeDocument/2006/docPropsVTypes"/>
</file>