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0fdf4" w:color="auto" w:val="clear"/>
        <w:spacing w:after="60" w:before="0"/>
        <w:jc w:val="left"/>
      </w:pPr>
      <w:r>
        <w:rPr>
          <w:b/>
          <w:bCs/>
          <w:color w:val="111827"/>
          <w:sz w:val="48"/>
          <w:szCs w:val="48"/>
        </w:rPr>
        <w:t xml:space="preserve">Hafedh Amrouch</w:t>
      </w:r>
    </w:p>
    <w:p>
      <w:pPr>
        <w:spacing w:after="80" w:before="0"/>
      </w:pPr>
      <w:r>
        <w:rPr>
          <w:i/>
          <w:iCs/>
          <w:color w:val="6b7280"/>
          <w:sz w:val="28"/>
          <w:szCs w:val="28"/>
        </w:rPr>
        <w:t xml:space="preserve">Data analyst</w:t>
      </w:r>
    </w:p>
    <w:p>
      <w:pPr>
        <w:spacing w:after="200" w:before="0"/>
      </w:pPr>
      <w:r>
        <w:rPr>
          <w:color w:val="6b7280"/>
          <w:sz w:val="20"/>
          <w:szCs w:val="20"/>
        </w:rPr>
        <w:t xml:space="preserve">hafedh.amrouch@gmail.com | 00216 50 250 212 | Tunis, Tunisie</w:t>
      </w:r>
    </w:p>
    <w:p>
      <w:pPr>
        <w:pStyle w:val="Heading2"/>
        <w:keepNext/>
        <w:pBdr>
          <w:bottom w:val="single" w:color="10b981" w:sz="8" w:space="4"/>
        </w:pBdr>
        <w:spacing w:after="120" w:before="240"/>
      </w:pPr>
      <w:r>
        <w:rPr>
          <w:b/>
          <w:bCs/>
          <w:color w:val="10b981"/>
          <w:sz w:val="28"/>
          <w:szCs w:val="28"/>
        </w:rPr>
        <w:t xml:space="preserve">Expérience professionnelle</w:t>
      </w:r>
    </w:p>
    <w:p>
      <w:pPr>
        <w:keepNext/>
        <w:spacing w:after="0" w:before="120"/>
      </w:pPr>
      <w:r>
        <w:rPr>
          <w:b/>
          <w:bCs/>
          <w:color w:val="111827"/>
          <w:sz w:val="22"/>
          <w:szCs w:val="22"/>
        </w:rPr>
        <w:t xml:space="preserve">DATA ANALYST</w:t>
      </w:r>
      <w:r>
        <w:rPr>
          <w:color w:val="6b7280"/>
          <w:sz w:val="22"/>
          <w:szCs w:val="22"/>
        </w:rPr>
        <w:t xml:space="preserve"> — </w:t>
      </w:r>
      <w:r>
        <w:rPr>
          <w:b/>
          <w:bCs/>
          <w:color w:val="111827"/>
          <w:sz w:val="22"/>
          <w:szCs w:val="22"/>
        </w:rPr>
        <w:t xml:space="preserve">Infopro Digital</w:t>
      </w:r>
    </w:p>
    <w:p>
      <w:pPr>
        <w:keepNext/>
        <w:spacing w:after="40" w:before="0"/>
      </w:pPr>
      <w:r>
        <w:rPr>
          <w:i/>
          <w:iCs/>
          <w:color w:val="6b7280"/>
          <w:sz w:val="20"/>
          <w:szCs w:val="20"/>
        </w:rPr>
        <w:t xml:space="preserve">Novembre 2023 – présent • Tunis, Tunisie</w:t>
      </w:r>
    </w:p>
    <w:p>
      <w:pPr>
        <w:spacing w:after="60" w:before="0"/>
        <w:jc w:val="both"/>
      </w:pPr>
      <w:r>
        <w:rPr>
          <w:color w:val="111827"/>
          <w:sz w:val="22"/>
          <w:szCs w:val="22"/>
        </w:rPr>
        <w:t xml:space="preserve">Superviser le développement des tableaux de bord Power BI en garantissant la qualité et la sécurité des données (RLS) et planifier les mises à jour des données des tableaux de bord à travers les Gateway connection de Power BI service. Collaborer avec les différents managers pour identifier les besoins métier et les traduire en outils d’aide à la décision. Concevoir, créer et administrer les bases de données et optimiser les requêtes SQL et améliorer les performances des dashboards. Gérer l’escalade des bugs (CRM, tableaux de bord, ETL pipeline). Travailler en coordination avec l’équipe INFRA et l’éditeur du CRM pour déployer les correctifs et mises à jour. L’élaboration et l’automatisation des processus d’intégration des données dans le CRM à l’aide de SQL Server Integration Services. Collecter et extraire les données pertinentes de la base CRM via des requêtes SQL pour les charger dans des vues SQL Server. La création des tableaux de bord et des menus interactifs via Power BI desktop et SSRS. L’administration du CRM : Création de comptes, Création des campagnes Marketing ainsi que leurs interfaces agents.</w:t>
      </w:r>
    </w:p>
    <w:p>
      <w:pPr>
        <w:keepNext/>
        <w:spacing w:after="0" w:before="120"/>
      </w:pPr>
      <w:r>
        <w:rPr>
          <w:b/>
          <w:bCs/>
          <w:color w:val="111827"/>
          <w:sz w:val="22"/>
          <w:szCs w:val="22"/>
        </w:rPr>
        <w:t xml:space="preserve">DATA ANALYST</w:t>
      </w:r>
      <w:r>
        <w:rPr>
          <w:color w:val="6b7280"/>
          <w:sz w:val="22"/>
          <w:szCs w:val="22"/>
        </w:rPr>
        <w:t xml:space="preserve"> — </w:t>
      </w:r>
      <w:r>
        <w:rPr>
          <w:b/>
          <w:bCs/>
          <w:color w:val="111827"/>
          <w:sz w:val="22"/>
          <w:szCs w:val="22"/>
        </w:rPr>
        <w:t xml:space="preserve">Digital4business</w:t>
      </w:r>
    </w:p>
    <w:p>
      <w:pPr>
        <w:keepNext/>
        <w:spacing w:after="40" w:before="0"/>
      </w:pPr>
      <w:r>
        <w:rPr>
          <w:i/>
          <w:iCs/>
          <w:color w:val="6b7280"/>
          <w:sz w:val="20"/>
          <w:szCs w:val="20"/>
        </w:rPr>
        <w:t xml:space="preserve">Juillet 2023 – Novembre 2023 • Tunis, Tunisie</w:t>
      </w:r>
    </w:p>
    <w:p>
      <w:pPr>
        <w:spacing w:after="60" w:before="0"/>
        <w:jc w:val="both"/>
      </w:pPr>
      <w:r>
        <w:rPr>
          <w:color w:val="111827"/>
          <w:sz w:val="22"/>
          <w:szCs w:val="22"/>
        </w:rPr>
        <w:t xml:space="preserve">Concevoir, construire, modifier, intégrer, tester et mettre en œuvre des modèles de données. La synthétisation des données de gestion de stock et ticket support via Power BI.</w:t>
      </w:r>
    </w:p>
    <w:p>
      <w:pPr>
        <w:keepNext/>
        <w:spacing w:after="0" w:before="120"/>
      </w:pPr>
      <w:r>
        <w:rPr>
          <w:b/>
          <w:bCs/>
          <w:color w:val="111827"/>
          <w:sz w:val="22"/>
          <w:szCs w:val="22"/>
        </w:rPr>
        <w:t xml:space="preserve">BI Analyst Junior</w:t>
      </w:r>
      <w:r>
        <w:rPr>
          <w:color w:val="6b7280"/>
          <w:sz w:val="22"/>
          <w:szCs w:val="22"/>
        </w:rPr>
        <w:t xml:space="preserve"> — </w:t>
      </w:r>
      <w:r>
        <w:rPr>
          <w:b/>
          <w:bCs/>
          <w:color w:val="111827"/>
          <w:sz w:val="22"/>
          <w:szCs w:val="22"/>
        </w:rPr>
        <w:t xml:space="preserve">Umanlink Group</w:t>
      </w:r>
    </w:p>
    <w:p>
      <w:pPr>
        <w:keepNext/>
        <w:spacing w:after="40" w:before="0"/>
      </w:pPr>
      <w:r>
        <w:rPr>
          <w:i/>
          <w:iCs/>
          <w:color w:val="6b7280"/>
          <w:sz w:val="20"/>
          <w:szCs w:val="20"/>
        </w:rPr>
        <w:t xml:space="preserve">Mai 2022 – juillet 2023 • Tunis, Tunisie</w:t>
      </w:r>
    </w:p>
    <w:p>
      <w:pPr>
        <w:spacing w:after="60" w:before="0"/>
        <w:jc w:val="both"/>
      </w:pPr>
      <w:r>
        <w:rPr>
          <w:color w:val="111827"/>
          <w:sz w:val="22"/>
          <w:szCs w:val="22"/>
        </w:rPr>
        <w:t xml:space="preserve">Déploiement d’un module ETL avec SQL Server Integration Services (SSIS) : Collecte et extraction des données pertinentes depuis le CRM. Transformation et nettoyage des données (suppression des champs vides, élimination des doublons, création de champs calculés). La synthétisation des données via SSRS et Power BI.</w:t>
      </w:r>
    </w:p>
    <w:p>
      <w:pPr>
        <w:keepNext/>
        <w:spacing w:after="0" w:before="120"/>
      </w:pPr>
      <w:r>
        <w:rPr>
          <w:b/>
          <w:bCs/>
          <w:color w:val="111827"/>
          <w:sz w:val="22"/>
          <w:szCs w:val="22"/>
        </w:rPr>
        <w:t xml:space="preserve">Gestionnaire IT &amp; Parc informatique</w:t>
      </w:r>
      <w:r>
        <w:rPr>
          <w:color w:val="6b7280"/>
          <w:sz w:val="22"/>
          <w:szCs w:val="22"/>
        </w:rPr>
        <w:t xml:space="preserve"> — </w:t>
      </w:r>
      <w:r>
        <w:rPr>
          <w:b/>
          <w:bCs/>
          <w:color w:val="111827"/>
          <w:sz w:val="22"/>
          <w:szCs w:val="22"/>
        </w:rPr>
        <w:t xml:space="preserve">Banque internationale arabe de Tunisie (BIAT)</w:t>
      </w:r>
    </w:p>
    <w:p>
      <w:pPr>
        <w:keepNext/>
        <w:spacing w:after="40" w:before="0"/>
      </w:pPr>
      <w:r>
        <w:rPr>
          <w:i/>
          <w:iCs/>
          <w:color w:val="6b7280"/>
          <w:sz w:val="20"/>
          <w:szCs w:val="20"/>
        </w:rPr>
        <w:t xml:space="preserve">Septembre 2021 – Mai 2022 • Tunis, Tunisie</w:t>
      </w:r>
    </w:p>
    <w:p>
      <w:pPr>
        <w:spacing w:after="60" w:before="0"/>
        <w:jc w:val="both"/>
      </w:pPr>
      <w:r>
        <w:rPr>
          <w:color w:val="111827"/>
          <w:sz w:val="22"/>
          <w:szCs w:val="22"/>
        </w:rPr>
        <w:t xml:space="preserve">Recenser les matériels (ordinateurs, périphériques) et logiciels, gérer les licences et les contrats de maintenance. Assurer la maintenance préventive (mises à jour) et curative (réparation) pour limiter les interruptions d'activité. Assurer le suivi des entrées et sorties des matériels informatiques.</w:t>
      </w:r>
    </w:p>
    <w:p>
      <w:pPr>
        <w:keepNext/>
        <w:spacing w:after="0" w:before="120"/>
      </w:pPr>
      <w:r>
        <w:rPr>
          <w:b/>
          <w:bCs/>
          <w:color w:val="111827"/>
          <w:sz w:val="22"/>
          <w:szCs w:val="22"/>
        </w:rPr>
        <w:t xml:space="preserve">Stagiaire en intelligence décisionnelle</w:t>
      </w:r>
      <w:r>
        <w:rPr>
          <w:color w:val="6b7280"/>
          <w:sz w:val="22"/>
          <w:szCs w:val="22"/>
        </w:rPr>
        <w:t xml:space="preserve"> — </w:t>
      </w:r>
      <w:r>
        <w:rPr>
          <w:b/>
          <w:bCs/>
          <w:color w:val="111827"/>
          <w:sz w:val="22"/>
          <w:szCs w:val="22"/>
        </w:rPr>
        <w:t xml:space="preserve">CliniSys SARL</w:t>
      </w:r>
    </w:p>
    <w:p>
      <w:pPr>
        <w:keepNext/>
        <w:spacing w:after="40" w:before="0"/>
      </w:pPr>
      <w:r>
        <w:rPr>
          <w:i/>
          <w:iCs/>
          <w:color w:val="6b7280"/>
          <w:sz w:val="20"/>
          <w:szCs w:val="20"/>
        </w:rPr>
        <w:t xml:space="preserve">Mars 2021 – Juillet 2021 • Tunis, Tunisie</w:t>
      </w:r>
    </w:p>
    <w:p>
      <w:pPr>
        <w:spacing w:after="60" w:before="0"/>
        <w:jc w:val="both"/>
      </w:pPr>
      <w:r>
        <w:rPr>
          <w:color w:val="111827"/>
          <w:sz w:val="22"/>
          <w:szCs w:val="22"/>
        </w:rPr>
        <w:t xml:space="preserve">Mise en place d’un module ETL via l’outil SQL Server Integration Services (SSIS). La création des tableaux de bord et des menus interactifs via Power BI desktop.</w:t>
      </w:r>
    </w:p>
    <w:p>
      <w:pPr>
        <w:pStyle w:val="Heading2"/>
        <w:keepNext/>
        <w:pBdr>
          <w:bottom w:val="single" w:color="10b981" w:sz="8" w:space="4"/>
        </w:pBdr>
        <w:spacing w:after="120" w:before="240"/>
      </w:pPr>
      <w:r>
        <w:rPr>
          <w:b/>
          <w:bCs/>
          <w:color w:val="10b981"/>
          <w:sz w:val="28"/>
          <w:szCs w:val="28"/>
        </w:rPr>
        <w:t xml:space="preserve">Formation</w:t>
      </w:r>
    </w:p>
    <w:p>
      <w:pPr>
        <w:keepNext/>
        <w:spacing w:after="0" w:before="120"/>
      </w:pPr>
      <w:r>
        <w:rPr>
          <w:b/>
          <w:bCs/>
          <w:color w:val="111827"/>
          <w:sz w:val="22"/>
          <w:szCs w:val="22"/>
        </w:rPr>
        <w:t xml:space="preserve">Master executive en Business Analytics</w:t>
      </w:r>
      <w:r>
        <w:rPr>
          <w:color w:val="6b7280"/>
          <w:sz w:val="22"/>
          <w:szCs w:val="22"/>
        </w:rPr>
        <w:t xml:space="preserve"> — </w:t>
      </w:r>
      <w:r>
        <w:rPr>
          <w:color w:val="111827"/>
          <w:sz w:val="22"/>
          <w:szCs w:val="22"/>
        </w:rPr>
        <w:t xml:space="preserve">Esprit School of Business</w:t>
      </w:r>
    </w:p>
    <w:p>
      <w:pPr>
        <w:keepNext/>
        <w:spacing w:after="40" w:before="0"/>
      </w:pPr>
      <w:r>
        <w:rPr>
          <w:i/>
          <w:iCs/>
          <w:color w:val="6b7280"/>
          <w:sz w:val="20"/>
          <w:szCs w:val="20"/>
        </w:rPr>
        <w:t xml:space="preserve">2023 – 2023 • Business Analytics</w:t>
      </w:r>
    </w:p>
    <w:p>
      <w:pPr>
        <w:keepNext/>
        <w:spacing w:after="0" w:before="120"/>
      </w:pPr>
      <w:r>
        <w:rPr>
          <w:b/>
          <w:bCs/>
          <w:color w:val="111827"/>
          <w:sz w:val="22"/>
          <w:szCs w:val="22"/>
        </w:rPr>
        <w:t xml:space="preserve">Licence fondamentale en informatique de gestion</w:t>
      </w:r>
      <w:r>
        <w:rPr>
          <w:color w:val="6b7280"/>
          <w:sz w:val="22"/>
          <w:szCs w:val="22"/>
        </w:rPr>
        <w:t xml:space="preserve"> — </w:t>
      </w:r>
      <w:r>
        <w:rPr>
          <w:color w:val="111827"/>
          <w:sz w:val="22"/>
          <w:szCs w:val="22"/>
        </w:rPr>
        <w:t xml:space="preserve">Esprit School of Business</w:t>
      </w:r>
    </w:p>
    <w:p>
      <w:pPr>
        <w:keepNext/>
        <w:spacing w:after="40" w:before="0"/>
      </w:pPr>
      <w:r>
        <w:rPr>
          <w:i/>
          <w:iCs/>
          <w:color w:val="6b7280"/>
          <w:sz w:val="20"/>
          <w:szCs w:val="20"/>
        </w:rPr>
        <w:t xml:space="preserve">2021 – 2021 • informatique de gestion</w:t>
      </w:r>
    </w:p>
    <w:p>
      <w:pPr>
        <w:keepNext/>
        <w:spacing w:after="0" w:before="120"/>
      </w:pPr>
      <w:r>
        <w:rPr>
          <w:b/>
          <w:bCs/>
          <w:color w:val="111827"/>
          <w:sz w:val="22"/>
          <w:szCs w:val="22"/>
        </w:rPr>
        <w:t xml:space="preserve">Licence professionnel en systèmes d’informations et aide à la décision</w:t>
      </w:r>
      <w:r>
        <w:rPr>
          <w:color w:val="6b7280"/>
          <w:sz w:val="22"/>
          <w:szCs w:val="22"/>
        </w:rPr>
        <w:t xml:space="preserve"> — </w:t>
      </w:r>
      <w:r>
        <w:rPr>
          <w:color w:val="111827"/>
          <w:sz w:val="22"/>
          <w:szCs w:val="22"/>
        </w:rPr>
        <w:t xml:space="preserve">Université Claude Bernard</w:t>
      </w:r>
    </w:p>
    <w:p>
      <w:pPr>
        <w:keepNext/>
        <w:spacing w:after="40" w:before="0"/>
      </w:pPr>
      <w:r>
        <w:rPr>
          <w:i/>
          <w:iCs/>
          <w:color w:val="6b7280"/>
          <w:sz w:val="20"/>
          <w:szCs w:val="20"/>
        </w:rPr>
        <w:t xml:space="preserve">2021 – 2021 • systèmes d’informations et aide à la décision</w:t>
      </w:r>
    </w:p>
    <w:p>
      <w:pPr>
        <w:pStyle w:val="Heading2"/>
        <w:keepNext/>
        <w:pBdr>
          <w:bottom w:val="single" w:color="10b981" w:sz="8" w:space="4"/>
        </w:pBdr>
        <w:spacing w:after="120" w:before="240"/>
      </w:pPr>
      <w:r>
        <w:rPr>
          <w:b/>
          <w:bCs/>
          <w:color w:val="10b981"/>
          <w:sz w:val="28"/>
          <w:szCs w:val="28"/>
        </w:rPr>
        <w:t xml:space="preserve">Compétences</w:t>
      </w:r>
    </w:p>
    <w:p>
      <w:pPr>
        <w:spacing w:after="80" w:before="40"/>
      </w:pPr>
      <w:r>
        <w:rPr>
          <w:b/>
          <w:bCs/>
          <w:color w:val="111827"/>
          <w:sz w:val="22"/>
          <w:szCs w:val="22"/>
        </w:rPr>
        <w:t xml:space="preserve">logiciel : </w:t>
      </w:r>
      <w:r>
        <w:rPr>
          <w:color w:val="111827"/>
          <w:sz w:val="22"/>
          <w:szCs w:val="22"/>
        </w:rPr>
        <w:t xml:space="preserve">Power BI</w:t>
      </w:r>
      <w:r>
        <w:rPr>
          <w:color w:val="6b7280"/>
          <w:sz w:val="22"/>
          <w:szCs w:val="22"/>
        </w:rPr>
        <w:t xml:space="preserve"> • </w:t>
      </w:r>
      <w:r>
        <w:rPr>
          <w:color w:val="111827"/>
          <w:sz w:val="22"/>
          <w:szCs w:val="22"/>
        </w:rPr>
        <w:t xml:space="preserve">Tableau</w:t>
      </w:r>
      <w:r>
        <w:rPr>
          <w:color w:val="6b7280"/>
          <w:sz w:val="22"/>
          <w:szCs w:val="22"/>
        </w:rPr>
        <w:t xml:space="preserve"> • </w:t>
      </w:r>
      <w:r>
        <w:rPr>
          <w:color w:val="111827"/>
          <w:sz w:val="22"/>
          <w:szCs w:val="22"/>
        </w:rPr>
        <w:t xml:space="preserve">Qlik</w:t>
      </w:r>
      <w:r>
        <w:rPr>
          <w:color w:val="6b7280"/>
          <w:sz w:val="22"/>
          <w:szCs w:val="22"/>
        </w:rPr>
        <w:t xml:space="preserve"> • </w:t>
      </w:r>
      <w:r>
        <w:rPr>
          <w:color w:val="111827"/>
          <w:sz w:val="22"/>
          <w:szCs w:val="22"/>
        </w:rPr>
        <w:t xml:space="preserve">SQL Server Reporting Services</w:t>
      </w:r>
      <w:r>
        <w:rPr>
          <w:color w:val="6b7280"/>
          <w:sz w:val="22"/>
          <w:szCs w:val="22"/>
        </w:rPr>
        <w:t xml:space="preserve"> • </w:t>
      </w:r>
      <w:r>
        <w:rPr>
          <w:color w:val="111827"/>
          <w:sz w:val="22"/>
          <w:szCs w:val="22"/>
        </w:rPr>
        <w:t xml:space="preserve">SQL Server Integration Services (SSIS)</w:t>
      </w:r>
      <w:r>
        <w:rPr>
          <w:color w:val="6b7280"/>
          <w:sz w:val="22"/>
          <w:szCs w:val="22"/>
        </w:rPr>
        <w:t xml:space="preserve"> • </w:t>
      </w:r>
      <w:r>
        <w:rPr>
          <w:color w:val="111827"/>
          <w:sz w:val="22"/>
          <w:szCs w:val="22"/>
        </w:rPr>
        <w:t xml:space="preserve">Talend</w:t>
      </w:r>
      <w:r>
        <w:rPr>
          <w:color w:val="6b7280"/>
          <w:sz w:val="22"/>
          <w:szCs w:val="22"/>
        </w:rPr>
        <w:t xml:space="preserve"> • </w:t>
      </w:r>
      <w:r>
        <w:rPr>
          <w:color w:val="111827"/>
          <w:sz w:val="22"/>
          <w:szCs w:val="22"/>
        </w:rPr>
        <w:t xml:space="preserve">SQL</w:t>
      </w:r>
    </w:p>
    <w:p>
      <w:pPr>
        <w:spacing w:after="80" w:before="40"/>
      </w:pPr>
      <w:r>
        <w:rPr>
          <w:b/>
          <w:bCs/>
          <w:color w:val="111827"/>
          <w:sz w:val="22"/>
          <w:szCs w:val="22"/>
        </w:rPr>
        <w:t xml:space="preserve">technique : </w:t>
      </w:r>
      <w:r>
        <w:rPr>
          <w:color w:val="111827"/>
          <w:sz w:val="22"/>
          <w:szCs w:val="22"/>
        </w:rPr>
        <w:t xml:space="preserve">ETL</w:t>
      </w:r>
      <w:r>
        <w:rPr>
          <w:color w:val="6b7280"/>
          <w:sz w:val="22"/>
          <w:szCs w:val="22"/>
        </w:rPr>
        <w:t xml:space="preserve"> • </w:t>
      </w:r>
      <w:r>
        <w:rPr>
          <w:color w:val="111827"/>
          <w:sz w:val="22"/>
          <w:szCs w:val="22"/>
        </w:rPr>
        <w:t xml:space="preserve">Data analysis</w:t>
      </w:r>
      <w:r>
        <w:rPr>
          <w:color w:val="6b7280"/>
          <w:sz w:val="22"/>
          <w:szCs w:val="22"/>
        </w:rPr>
        <w:t xml:space="preserve"> • </w:t>
      </w:r>
      <w:r>
        <w:rPr>
          <w:color w:val="111827"/>
          <w:sz w:val="22"/>
          <w:szCs w:val="22"/>
        </w:rPr>
        <w:t xml:space="preserve">Dashboard creation</w:t>
      </w:r>
    </w:p>
    <w:p>
      <w:pPr>
        <w:pStyle w:val="Heading2"/>
        <w:keepNext/>
        <w:pBdr>
          <w:bottom w:val="single" w:color="10b981" w:sz="8" w:space="4"/>
        </w:pBdr>
        <w:spacing w:after="120" w:before="240"/>
      </w:pPr>
      <w:r>
        <w:rPr>
          <w:b/>
          <w:bCs/>
          <w:color w:val="10b981"/>
          <w:sz w:val="28"/>
          <w:szCs w:val="28"/>
        </w:rPr>
        <w:t xml:space="preserve">Langues</w:t>
      </w:r>
    </w:p>
    <w:p>
      <w:pPr>
        <w:spacing w:after="120" w:before="0"/>
      </w:pPr>
      <w:r>
        <w:rPr>
          <w:b/>
          <w:bCs/>
          <w:color w:val="111827"/>
          <w:sz w:val="22"/>
          <w:szCs w:val="22"/>
        </w:rPr>
        <w:t xml:space="preserve">Français</w:t>
      </w:r>
      <w:r>
        <w:rPr>
          <w:i/>
          <w:iCs/>
          <w:color w:val="6b7280"/>
          <w:sz w:val="22"/>
          <w:szCs w:val="22"/>
        </w:rPr>
        <w:t xml:space="preserve"> — Bilingue</w:t>
      </w:r>
      <w:r>
        <w:rPr>
          <w:color w:val="6b7280"/>
          <w:sz w:val="22"/>
          <w:szCs w:val="22"/>
        </w:rPr>
        <w:t xml:space="preserve"> • </w:t>
      </w:r>
      <w:r>
        <w:rPr>
          <w:b/>
          <w:bCs/>
          <w:color w:val="111827"/>
          <w:sz w:val="22"/>
          <w:szCs w:val="22"/>
        </w:rPr>
        <w:t xml:space="preserve">Anglais</w:t>
      </w:r>
      <w:r>
        <w:rPr>
          <w:i/>
          <w:iCs/>
          <w:color w:val="6b7280"/>
          <w:sz w:val="22"/>
          <w:szCs w:val="22"/>
        </w:rPr>
        <w:t xml:space="preserve"> — intermédiaire</w:t>
      </w:r>
    </w:p>
    <w:p>
      <w:pPr>
        <w:pStyle w:val="Heading2"/>
        <w:keepNext/>
        <w:pBdr>
          <w:bottom w:val="single" w:color="10b981" w:sz="8" w:space="4"/>
        </w:pBdr>
        <w:spacing w:after="120" w:before="240"/>
      </w:pPr>
      <w:r>
        <w:rPr>
          <w:b/>
          <w:bCs/>
          <w:color w:val="10b981"/>
          <w:sz w:val="28"/>
          <w:szCs w:val="28"/>
        </w:rPr>
        <w:t xml:space="preserve">Certifications</w:t>
      </w:r>
    </w:p>
    <w:p>
      <w:pPr>
        <w:spacing w:after="60" w:before="60"/>
      </w:pPr>
      <w:r>
        <w:rPr>
          <w:b/>
          <w:bCs/>
          <w:color w:val="111827"/>
          <w:sz w:val="22"/>
          <w:szCs w:val="22"/>
        </w:rPr>
        <w:t xml:space="preserve">Microsoft Certified: Power BI Data Analyst Associate</w:t>
      </w:r>
      <w:r>
        <w:rPr>
          <w:color w:val="6b7280"/>
          <w:sz w:val="22"/>
          <w:szCs w:val="22"/>
        </w:rPr>
        <w:t xml:space="preserve"> — Microsoft, MARS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Hafedh Amrouch</dc:title>
  <dc:creator>Agent de transformation de CV</dc:creator>
  <dc:description>CV de Hafedh Amrouch</dc:description>
  <cp:lastModifiedBy>Un-named</cp:lastModifiedBy>
  <cp:revision>1</cp:revision>
  <dcterms:created xsi:type="dcterms:W3CDTF">2026-08-10T08:34:09.737Z</dcterms:created>
  <dcterms:modified xsi:type="dcterms:W3CDTF">2026-08-10T08:34:09.737Z</dcterms:modified>
</cp:coreProperties>
</file>

<file path=docProps/custom.xml><?xml version="1.0" encoding="utf-8"?>
<Properties xmlns="http://schemas.openxmlformats.org/officeDocument/2006/custom-properties" xmlns:vt="http://schemas.openxmlformats.org/officeDocument/2006/docPropsVTypes"/>
</file>