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STATUTS</w:t>
        <w:br/>
        <w:t>Société Française de Biologie du Vieillissement (SFBV)</w:t>
      </w:r>
    </w:p>
    <w:p>
      <w:r>
        <w:br/>
        <w:t>Article 1 – Dénomination</w:t>
        <w:br/>
        <w:t>Il est fondé entre les adhérents aux présents statuts une association régie par la loi du 1er juillet 1901, ayant pour dénomination :</w:t>
        <w:br/>
        <w:t>Société Française de Biologie du Vieillissement (SFBV).</w:t>
      </w:r>
    </w:p>
    <w:p>
      <w:r>
        <w:t>Article 2 – Objet</w:t>
        <w:br/>
        <w:t>La Société Française de Biologie du Vieillissement (SFBV) a pour objet de :</w:t>
        <w:br/>
        <w:t>- rassembler, structurer et promouvoir la recherche scientifique sur les mécanismes biologiques fondamentaux du vieillissement ;</w:t>
        <w:br/>
        <w:t>- favoriser la translation des connaissances fondamentales vers des stratégies thérapeutiques, préventives et réparatrices innovantes ;</w:t>
        <w:br/>
        <w:t>- soutenir la formation et l’émergence des jeunes chercheur·e·s ;</w:t>
        <w:br/>
        <w:t>- développer des réseaux nationaux et internationaux ;</w:t>
        <w:br/>
        <w:t>- contribuer à une réflexion critique, éthique et interdisciplinaire.</w:t>
        <w:br/>
        <w:t>La SFBV se positionne comme une société savante scientifique distincte des sociétés de gérontologie et de gériatrie.</w:t>
      </w:r>
    </w:p>
    <w:p>
      <w:r>
        <w:t>Article 3 – Moyens d’action</w:t>
        <w:br/>
        <w:t>Organisation de réunions scientifiques, publications, partenariats, plateformes de partage, appels à projets.</w:t>
      </w:r>
    </w:p>
    <w:p>
      <w:r>
        <w:t>Article 4 – Siège social</w:t>
        <w:br/>
        <w:t>[À compléter]</w:t>
      </w:r>
    </w:p>
    <w:p>
      <w:r>
        <w:t>Article 5 – Durée</w:t>
        <w:br/>
        <w:t>Illimitée.</w:t>
      </w:r>
    </w:p>
    <w:p>
      <w:r>
        <w:t>Article 6 – Composition</w:t>
        <w:br/>
        <w:t>Membres fondateurs, actifs, associés, d’honneur.</w:t>
      </w:r>
    </w:p>
    <w:p>
      <w:r>
        <w:t>Article 7 – Admission</w:t>
        <w:br/>
        <w:t>Prononcée par le conseil d’administration.</w:t>
      </w:r>
    </w:p>
    <w:p>
      <w:r>
        <w:t>Article 8 – Radiation</w:t>
        <w:br/>
        <w:t>Démission, décès, exclusion motivée.</w:t>
      </w:r>
    </w:p>
    <w:p>
      <w:r>
        <w:t>Article 9 – Ressources</w:t>
        <w:br/>
        <w:t>Cotisations, subventions publiques, financements de projets, dons.</w:t>
      </w:r>
    </w:p>
    <w:p>
      <w:r>
        <w:t>Article 10 – Conseil d’administration</w:t>
        <w:br/>
        <w:t>Composition et durée à définir.</w:t>
      </w:r>
    </w:p>
    <w:p>
      <w:r>
        <w:t>Article 11 – Bureau</w:t>
        <w:br/>
        <w:t>Président·e, secrétaire, trésorier·e.</w:t>
      </w:r>
    </w:p>
    <w:p>
      <w:r>
        <w:t>Article 12 – Assemblée générale</w:t>
        <w:br/>
        <w:t>Annuelle.</w:t>
      </w:r>
    </w:p>
    <w:p>
      <w:r>
        <w:t>Article 13 – Règlement intérieur</w:t>
        <w:br/>
        <w:t>Peut être établi.</w:t>
      </w:r>
    </w:p>
    <w:p>
      <w:r>
        <w:t>Article 14 – Dissolution</w:t>
        <w:br/>
        <w:t>Actif net attribué à une structure poursuivant un objectif similaire.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