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BBC9A8" w14:textId="6C54B309" w:rsidR="003B1052" w:rsidRPr="003B1052" w:rsidRDefault="003B1052" w:rsidP="003B1052">
      <w:r w:rsidRPr="003B1052">
        <w:t xml:space="preserve">Private equity firms struggle with fragmented </w:t>
      </w:r>
      <w:r>
        <w:t>Investor</w:t>
      </w:r>
      <w:r w:rsidRPr="003B1052">
        <w:t xml:space="preserve"> data across spreadsheets, manual report generation, and time-intensive review of SEC filings and earnings calls. PE Partners — built entirely using OpenAI Codex for development and OpenAI LLM models for in-app intelligence — consolidates investor management, portfolio analytics, automated reporting, and AI-powered document search into one secure platform. This demonstrates how AI-assisted development dramatically accelerates time-to-value, delivering a production-grade application in a fraction of traditional development timelines while running natively within Snowflake.</w:t>
      </w:r>
    </w:p>
    <w:sectPr w:rsidR="003B1052" w:rsidRPr="003B1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52"/>
    <w:rsid w:val="0025510E"/>
    <w:rsid w:val="003B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68ECA"/>
  <w15:chartTrackingRefBased/>
  <w15:docId w15:val="{495EC3BA-B4FC-F749-AEED-F1A8EC57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Colm Moynihan</dc:creator>
  <cp:keywords/>
  <dc:description/>
  <cp:lastModifiedBy>Colm Moynihan</cp:lastModifiedBy>
  <cp:revision>2</cp:revision>
  <cp:lastPrinted>2026-08-21T10:41:00Z</cp:lastPrinted>
  <dcterms:created xsi:type="dcterms:W3CDTF">2026-08-21T10:40:00Z</dcterms:created>
  <dcterms:modified xsi:type="dcterms:W3CDTF">2026-08-21T10:42:00Z</dcterms:modified>
</cp:coreProperties>
</file>