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Finance 360</w:t>
      </w:r>
    </w:p>
    <w:p>
      <w:pPr>
        <w:spacing w:after="40"/>
      </w:pPr>
      <w:r>
        <w:rPr>
          <w:b/>
          <w:color w:val="1B3A57"/>
          <w:sz w:val="44"/>
        </w:rPr>
        <w:t>Architecture</w:t>
      </w:r>
    </w:p>
    <w:p>
      <w:pPr>
        <w:spacing w:after="280"/>
      </w:pPr>
      <w:r>
        <w:rPr>
          <w:color w:val="5A6A7A"/>
          <w:sz w:val="19"/>
        </w:rPr>
        <w:t>Generated from docs/02-architecture.md  ·  part 02</w:t>
      </w:r>
    </w:p>
    <w:p>
      <w:pPr>
        <w:spacing w:after="120"/>
      </w:pPr>
      <w:r>
        <w:rPr>
          <w:b w:val="0"/>
          <w:i w:val="0"/>
          <w:sz w:val="20"/>
        </w:rPr>
        <w:t>Every object in the stack, what reads what, and the two places where the wiring is not what the diagram would lead you to expect.</w:t>
      </w:r>
    </w:p>
    <w:p>
      <w:pPr>
        <w:spacing w:before="80" w:after="160"/>
        <w:jc w:val="center"/>
      </w:pPr>
      <w:r>
        <w:rPr>
          <w:color w:val="C8D4DE"/>
          <w:sz w:val="12"/>
        </w:rPr>
        <w:t>──────────────────────────────────────────────────────────</w:t>
      </w:r>
    </w:p>
    <w:p>
      <w:pPr>
        <w:keepNext/>
        <w:spacing w:before="240" w:after="60"/>
        <w:outlineLvl w:val="1"/>
      </w:pPr>
      <w:r>
        <w:rPr>
          <w:b/>
          <w:color w:val="1B3A57"/>
          <w:sz w:val="23"/>
        </w:rPr>
        <w:t>Data flow</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 BDC Standard Data Products                     (L0, shared, not copied)</w:t>
            </w:r>
          </w:p>
          <w:p>
            <w:pPr>
              <w:spacing w:after="0" w:line="240" w:lineRule="auto"/>
            </w:pPr>
            <w:r>
              <w:rPr>
                <w:rFonts w:ascii="Consolas" w:hAnsi="Consolas"/>
                <w:color w:val="223344"/>
                <w:sz w:val="16"/>
              </w:rPr>
              <w:t xml:space="preserve">  SAP_BDC_DEMO_ENTRY_VIEW_JOURNAL_ENTRY.BDCCONNECT.OPERATIONALACCTGDOCITEM</w:t>
            </w:r>
          </w:p>
          <w:p>
            <w:pPr>
              <w:spacing w:after="0" w:line="240" w:lineRule="auto"/>
            </w:pPr>
            <w:r>
              <w:rPr>
                <w:rFonts w:ascii="Consolas" w:hAnsi="Consolas"/>
                <w:color w:val="223344"/>
                <w:sz w:val="16"/>
              </w:rPr>
              <w:t xml:space="preserve">  SAP_BDC_DEMO_JOURNAL_ENTRY_HEADER.BDCCONNECT.JOURNALENTRY</w:t>
            </w:r>
          </w:p>
          <w:p>
            <w:pPr>
              <w:spacing w:after="0" w:line="240" w:lineRule="auto"/>
            </w:pPr>
            <w:r>
              <w:rPr>
                <w:rFonts w:ascii="Consolas" w:hAnsi="Consolas"/>
                <w:color w:val="223344"/>
                <w:sz w:val="16"/>
              </w:rPr>
              <w:t xml:space="preserve">  SAP_BDC_DEMO_SUPPLIER_INVOICE.BDCCONNECT.SUPPLIERINVOICE</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SAP_FINANCE_360.SAP_BDC_L1                         (L1, 6 passthrough VIEWS)</w:t>
            </w:r>
          </w:p>
          <w:p>
            <w:pPr>
              <w:spacing w:after="0" w:line="240" w:lineRule="auto"/>
            </w:pPr>
            <w:r>
              <w:rPr>
                <w:rFonts w:ascii="Consolas" w:hAnsi="Consolas"/>
                <w:color w:val="223344"/>
                <w:sz w:val="16"/>
              </w:rPr>
              <w:t xml:space="preserve">  COSTCENTER  GENERALLEDGERACCOUNT  JOURNALENTRY</w:t>
            </w:r>
          </w:p>
          <w:p>
            <w:pPr>
              <w:spacing w:after="0" w:line="240" w:lineRule="auto"/>
            </w:pPr>
            <w:r>
              <w:rPr>
                <w:rFonts w:ascii="Consolas" w:hAnsi="Consolas"/>
                <w:color w:val="223344"/>
                <w:sz w:val="16"/>
              </w:rPr>
              <w:t xml:space="preserve">  OPERATIONALACCTGDOCITEM  PROFITCENTER  SUPPLIERINVOICE</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SAP_FINANCE_360.ANALYTICS                          (L2, 7 objects, 20,011 rows)</w:t>
            </w:r>
          </w:p>
          <w:p>
            <w:pPr>
              <w:spacing w:after="0" w:line="240" w:lineRule="auto"/>
            </w:pPr>
            <w:r>
              <w:rPr>
                <w:rFonts w:ascii="Consolas" w:hAnsi="Consolas"/>
                <w:color w:val="223344"/>
                <w:sz w:val="16"/>
              </w:rPr>
              <w:t xml:space="preserve">  DT_JOURNAL_ENTRY_360  DT_GL_BALANCE  DT_PNL_SUMMARY</w:t>
            </w:r>
          </w:p>
          <w:p>
            <w:pPr>
              <w:spacing w:after="0" w:line="240" w:lineRule="auto"/>
            </w:pPr>
            <w:r>
              <w:rPr>
                <w:rFonts w:ascii="Consolas" w:hAnsi="Consolas"/>
                <w:color w:val="223344"/>
                <w:sz w:val="16"/>
              </w:rPr>
              <w:t xml:space="preserve">  DT_EXPENSE_BY_COSTCENTER  DT_REVENUE_BY_PROFITCENTER</w:t>
            </w:r>
          </w:p>
          <w:p>
            <w:pPr>
              <w:spacing w:after="0" w:line="240" w:lineRule="auto"/>
            </w:pPr>
            <w:r>
              <w:rPr>
                <w:rFonts w:ascii="Consolas" w:hAnsi="Consolas"/>
                <w:color w:val="223344"/>
                <w:sz w:val="16"/>
              </w:rPr>
              <w:t xml:space="preserve">  DT_AP_AGING  DT_AR_AGING</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+--&gt; SAP_FINANCE_360.ANALYTICS.SAP_FINANCE_360           (semantic view)</w:t>
            </w:r>
          </w:p>
          <w:p>
            <w:pPr>
              <w:spacing w:after="0" w:line="240" w:lineRule="auto"/>
            </w:pPr>
            <w:r>
              <w:rPr>
                <w:rFonts w:ascii="Consolas" w:hAnsi="Consolas"/>
                <w:color w:val="223344"/>
                <w:sz w:val="16"/>
              </w:rPr>
              <w:t xml:space="preserve">        +--&gt; SAP_FINANCE_360.SEMANTIC.SAP_FINANCE_360_ANALYTICS   (semantic view)</w:t>
            </w:r>
          </w:p>
          <w:p>
            <w:pPr>
              <w:spacing w:after="0" w:line="240" w:lineRule="auto"/>
            </w:pPr>
            <w:r>
              <w:rPr>
                <w:rFonts w:ascii="Consolas" w:hAnsi="Consolas"/>
                <w:color w:val="223344"/>
                <w:sz w:val="16"/>
              </w:rPr>
              <w:t xml:space="preserve">        +--&gt; @SEMANTIC.SEMANTIC_MODELS/finance_360.semantic.yaml  (Analyst model)</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React + Express app, 9 pages</w:t>
            </w:r>
          </w:p>
        </w:tc>
      </w:tr>
    </w:tbl>
    <w:p>
      <w:pPr>
        <w:spacing w:after="80"/>
      </w:pPr>
    </w:p>
    <w:p>
      <w:pPr>
        <w:spacing w:after="120"/>
      </w:pPr>
      <w:r>
        <w:rPr>
          <w:b w:val="0"/>
          <w:i w:val="0"/>
          <w:sz w:val="20"/>
        </w:rPr>
        <w:t>The app arrow is drawn from L2, and that is only two thirds true. See the app reads two layers (#the-app-reads-two-layers) below.</w:t>
      </w:r>
    </w:p>
    <w:p>
      <w:pPr>
        <w:spacing w:before="80" w:after="160"/>
        <w:jc w:val="center"/>
      </w:pPr>
      <w:r>
        <w:rPr>
          <w:color w:val="C8D4DE"/>
          <w:sz w:val="12"/>
        </w:rPr>
        <w:t>──────────────────────────────────────────────────────────</w:t>
      </w:r>
    </w:p>
    <w:p>
      <w:pPr>
        <w:keepNext/>
        <w:spacing w:before="240" w:after="60"/>
        <w:outlineLvl w:val="1"/>
      </w:pPr>
      <w:r>
        <w:rPr>
          <w:b/>
          <w:color w:val="1B3A57"/>
          <w:sz w:val="23"/>
        </w:rPr>
        <w:t>L1 — six views, nothing more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Objects</w:t>
            </w:r>
          </w:p>
        </w:tc>
        <w:tc>
          <w:tcPr>
            <w:tcW w:type="dxa" w:w="7056"/>
          </w:tcPr>
          <w:p>
            <w:pPr>
              <w:spacing w:after="20"/>
            </w:pPr>
            <w:r/>
            <w:r>
              <w:rPr>
                <w:b w:val="0"/>
                <w:sz w:val="17"/>
              </w:rPr>
              <w:t>6</w:t>
            </w:r>
          </w:p>
        </w:tc>
      </w:tr>
      <w:tr>
        <w:trPr>
          <w:cantSplit/>
        </w:trPr>
        <w:tc>
          <w:tcPr>
            <w:tcW w:type="dxa" w:w="2880"/>
            <w:shd w:val="clear" w:fill="EEF4F8"/>
          </w:tcPr>
          <w:p>
            <w:pPr>
              <w:spacing w:after="20"/>
            </w:pPr>
            <w:r/>
            <w:r>
              <w:rPr>
                <w:b w:val="0"/>
                <w:sz w:val="17"/>
              </w:rPr>
              <w:t>Object type</w:t>
            </w:r>
          </w:p>
        </w:tc>
        <w:tc>
          <w:tcPr>
            <w:tcW w:type="dxa" w:w="7056"/>
            <w:shd w:val="clear" w:fill="EEF4F8"/>
          </w:tcPr>
          <w:p>
            <w:pPr>
              <w:spacing w:after="20"/>
            </w:pPr>
            <w:r/>
            <w:r>
              <w:rPr>
                <w:rFonts w:ascii="Consolas" w:hAnsi="Consolas"/>
                <w:b w:val="0"/>
                <w:color w:val="1B5E8C"/>
                <w:sz w:val="16"/>
              </w:rPr>
              <w:t>VIEW</w:t>
            </w:r>
          </w:p>
        </w:tc>
      </w:tr>
      <w:tr>
        <w:trPr>
          <w:cantSplit/>
        </w:trPr>
        <w:tc>
          <w:tcPr>
            <w:tcW w:type="dxa" w:w="2880"/>
          </w:tcPr>
          <w:p>
            <w:pPr>
              <w:spacing w:after="20"/>
            </w:pPr>
            <w:r/>
            <w:r>
              <w:rPr>
                <w:b w:val="0"/>
                <w:sz w:val="17"/>
              </w:rPr>
              <w:t>Materialized views</w:t>
            </w:r>
          </w:p>
        </w:tc>
        <w:tc>
          <w:tcPr>
            <w:tcW w:type="dxa" w:w="7056"/>
          </w:tcPr>
          <w:p>
            <w:pPr>
              <w:spacing w:after="20"/>
            </w:pPr>
            <w:r/>
            <w:r>
              <w:rPr>
                <w:b w:val="0"/>
                <w:sz w:val="17"/>
              </w:rPr>
              <w:t>0</w:t>
            </w:r>
          </w:p>
        </w:tc>
      </w:tr>
      <w:tr>
        <w:trPr>
          <w:cantSplit/>
        </w:trPr>
        <w:tc>
          <w:tcPr>
            <w:tcW w:type="dxa" w:w="2880"/>
            <w:shd w:val="clear" w:fill="EEF4F8"/>
          </w:tcPr>
          <w:p>
            <w:pPr>
              <w:spacing w:after="20"/>
            </w:pPr>
            <w:r/>
            <w:r>
              <w:rPr>
                <w:b w:val="0"/>
                <w:sz w:val="17"/>
              </w:rPr>
              <w:t>Tables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Storage added</w:t>
            </w:r>
          </w:p>
        </w:tc>
        <w:tc>
          <w:tcPr>
            <w:tcW w:type="dxa" w:w="7056"/>
          </w:tcPr>
          <w:p>
            <w:pPr>
              <w:spacing w:after="20"/>
            </w:pPr>
            <w:r/>
            <w:r>
              <w:rPr>
                <w:b w:val="0"/>
                <w:sz w:val="17"/>
              </w:rPr>
              <w:t>none</w:t>
            </w:r>
          </w:p>
        </w:tc>
      </w:tr>
      <w:tr>
        <w:trPr>
          <w:cantSplit/>
        </w:trPr>
        <w:tc>
          <w:tcPr>
            <w:tcW w:type="dxa" w:w="2880"/>
            <w:shd w:val="clear" w:fill="EEF4F8"/>
          </w:tcPr>
          <w:p>
            <w:pPr>
              <w:spacing w:after="20"/>
            </w:pPr>
            <w:r/>
            <w:r>
              <w:rPr>
                <w:b w:val="0"/>
                <w:sz w:val="17"/>
              </w:rPr>
              <w:t>Refresh lag</w:t>
            </w:r>
          </w:p>
        </w:tc>
        <w:tc>
          <w:tcPr>
            <w:tcW w:type="dxa" w:w="7056"/>
            <w:shd w:val="clear" w:fill="EEF4F8"/>
          </w:tcPr>
          <w:p>
            <w:pPr>
              <w:spacing w:after="20"/>
            </w:pPr>
            <w:r/>
            <w:r>
              <w:rPr>
                <w:b w:val="0"/>
                <w:sz w:val="17"/>
              </w:rPr>
              <w:t>none — a view has no lag</w:t>
            </w:r>
          </w:p>
        </w:tc>
      </w:tr>
    </w:tbl>
    <w:p>
      <w:pPr>
        <w:spacing w:after="80"/>
      </w:pPr>
    </w:p>
    <w:p>
      <w:pPr>
        <w:spacing w:after="120"/>
      </w:pPr>
      <w:r>
        <w:rPr>
          <w:b w:val="0"/>
          <w:i w:val="0"/>
          <w:sz w:val="20"/>
        </w:rPr>
        <w:t xml:space="preserve">Each view selects from its L0 counterpart and declares a </w:t>
      </w:r>
      <w:r>
        <w:rPr>
          <w:rFonts w:ascii="Consolas" w:hAnsi="Consolas"/>
          <w:b w:val="0"/>
          <w:i w:val="0"/>
          <w:color w:val="1B5E8C"/>
          <w:sz w:val="19"/>
        </w:rPr>
        <w:t>COMMENT</w:t>
      </w:r>
      <w:r>
        <w:rPr>
          <w:b w:val="0"/>
          <w:i w:val="0"/>
          <w:sz w:val="20"/>
        </w:rPr>
        <w:t xml:space="preserve"> on every column. That is the whole transform. The value is not in the SQL, it is in the fact that a downstream consumer can </w:t>
      </w:r>
      <w:r>
        <w:rPr>
          <w:rFonts w:ascii="Consolas" w:hAnsi="Consolas"/>
          <w:b w:val="0"/>
          <w:i w:val="0"/>
          <w:color w:val="1B5E8C"/>
          <w:sz w:val="19"/>
        </w:rPr>
        <w:t>DESCRIBE</w:t>
      </w:r>
      <w:r>
        <w:rPr>
          <w:b w:val="0"/>
          <w:i w:val="0"/>
          <w:sz w:val="20"/>
        </w:rPr>
        <w:t xml:space="preserve"> a finance object and read what </w:t>
      </w:r>
      <w:r>
        <w:rPr>
          <w:rFonts w:ascii="Consolas" w:hAnsi="Consolas"/>
          <w:b w:val="0"/>
          <w:i w:val="0"/>
          <w:color w:val="1B5E8C"/>
          <w:sz w:val="19"/>
        </w:rPr>
        <w:t>ISBLKDFORPRIMARYCOSTSPOSTING</w:t>
      </w:r>
      <w:r>
        <w:rPr>
          <w:b w:val="0"/>
          <w:i w:val="0"/>
          <w:sz w:val="20"/>
        </w:rPr>
        <w:t xml:space="preserve"> means without opening SAP documentation.</w:t>
      </w:r>
    </w:p>
    <w:p>
      <w:pPr>
        <w:spacing w:after="120"/>
      </w:pPr>
      <w:r>
        <w:rPr>
          <w:b w:val="0"/>
          <w:i w:val="0"/>
          <w:sz w:val="20"/>
        </w:rPr>
        <w:t>Because they are views, the correctness question for L1 is "does it compile and does the grant chain reach L0", not "is it fresh".</w:t>
      </w:r>
    </w:p>
    <w:p>
      <w:pPr>
        <w:spacing w:before="80" w:after="160"/>
        <w:jc w:val="center"/>
      </w:pPr>
      <w:r>
        <w:rPr>
          <w:color w:val="C8D4DE"/>
          <w:sz w:val="12"/>
        </w:rPr>
        <w:t>──────────────────────────────────────────────────────────</w:t>
      </w:r>
    </w:p>
    <w:p>
      <w:pPr>
        <w:keepNext/>
        <w:spacing w:before="240" w:after="60"/>
        <w:outlineLvl w:val="1"/>
      </w:pPr>
      <w:r>
        <w:rPr>
          <w:b/>
          <w:color w:val="1B3A57"/>
          <w:sz w:val="23"/>
        </w:rPr>
        <w:t>L2 — seven objects, six of them dynamic</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Object</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Type</w:t>
            </w:r>
          </w:p>
        </w:tc>
      </w:tr>
      <w:tr>
        <w:trPr>
          <w:cantSplit/>
        </w:trPr>
        <w:tc>
          <w:tcPr>
            <w:tcW w:type="dxa" w:w="2880"/>
          </w:tcPr>
          <w:p>
            <w:pPr>
              <w:spacing w:after="20"/>
            </w:pPr>
            <w:r/>
            <w:r>
              <w:rPr>
                <w:rFonts w:ascii="Consolas" w:hAnsi="Consolas"/>
                <w:b w:val="0"/>
                <w:color w:val="1B5E8C"/>
                <w:sz w:val="16"/>
              </w:rPr>
              <w:t>DT_JOURNAL_ENTRY_360</w:t>
            </w:r>
          </w:p>
        </w:tc>
        <w:tc>
          <w:tcPr>
            <w:tcW w:type="dxa" w:w="3528"/>
          </w:tcPr>
          <w:p>
            <w:pPr>
              <w:spacing w:after="20"/>
            </w:pPr>
            <w:r/>
            <w:r>
              <w:rPr>
                <w:b w:val="0"/>
                <w:sz w:val="17"/>
              </w:rPr>
              <w:t>10,300</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DT_AR_AGING</w:t>
            </w:r>
          </w:p>
        </w:tc>
        <w:tc>
          <w:tcPr>
            <w:tcW w:type="dxa" w:w="3528"/>
            <w:shd w:val="clear" w:fill="EEF4F8"/>
          </w:tcPr>
          <w:p>
            <w:pPr>
              <w:spacing w:after="20"/>
            </w:pPr>
            <w:r/>
            <w:r>
              <w:rPr>
                <w:b w:val="0"/>
                <w:sz w:val="17"/>
              </w:rPr>
              <w:t>3,868</w:t>
            </w:r>
          </w:p>
        </w:tc>
        <w:tc>
          <w:tcPr>
            <w:tcW w:type="dxa" w:w="3528"/>
            <w:shd w:val="clear" w:fill="EEF4F8"/>
          </w:tcPr>
          <w:p>
            <w:pPr>
              <w:spacing w:after="20"/>
            </w:pPr>
            <w:r/>
            <w:r>
              <w:rPr>
                <w:b/>
                <w:sz w:val="17"/>
              </w:rPr>
              <w:t>plain table</w:t>
            </w:r>
          </w:p>
        </w:tc>
      </w:tr>
      <w:tr>
        <w:trPr>
          <w:cantSplit/>
        </w:trPr>
        <w:tc>
          <w:tcPr>
            <w:tcW w:type="dxa" w:w="2880"/>
          </w:tcPr>
          <w:p>
            <w:pPr>
              <w:spacing w:after="20"/>
            </w:pPr>
            <w:r/>
            <w:r>
              <w:rPr>
                <w:rFonts w:ascii="Consolas" w:hAnsi="Consolas"/>
                <w:b w:val="0"/>
                <w:color w:val="1B5E8C"/>
                <w:sz w:val="16"/>
              </w:rPr>
              <w:t>DT_EXPENSE_BY_COSTCENTER</w:t>
            </w:r>
          </w:p>
        </w:tc>
        <w:tc>
          <w:tcPr>
            <w:tcW w:type="dxa" w:w="3528"/>
          </w:tcPr>
          <w:p>
            <w:pPr>
              <w:spacing w:after="20"/>
            </w:pPr>
            <w:r/>
            <w:r>
              <w:rPr>
                <w:b w:val="0"/>
                <w:sz w:val="17"/>
              </w:rPr>
              <w:t>2,459</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DT_GL_BALANCE</w:t>
            </w:r>
          </w:p>
        </w:tc>
        <w:tc>
          <w:tcPr>
            <w:tcW w:type="dxa" w:w="3528"/>
            <w:shd w:val="clear" w:fill="EEF4F8"/>
          </w:tcPr>
          <w:p>
            <w:pPr>
              <w:spacing w:after="20"/>
            </w:pPr>
            <w:r/>
            <w:r>
              <w:rPr>
                <w:b w:val="0"/>
                <w:sz w:val="17"/>
              </w:rPr>
              <w:t>1,793</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DT_REVENUE_BY_PROFITCENTER</w:t>
            </w:r>
          </w:p>
        </w:tc>
        <w:tc>
          <w:tcPr>
            <w:tcW w:type="dxa" w:w="3528"/>
          </w:tcPr>
          <w:p>
            <w:pPr>
              <w:spacing w:after="20"/>
            </w:pPr>
            <w:r/>
            <w:r>
              <w:rPr>
                <w:b w:val="0"/>
                <w:sz w:val="17"/>
              </w:rPr>
              <w:t>1,091</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DT_AP_AGING</w:t>
            </w:r>
          </w:p>
        </w:tc>
        <w:tc>
          <w:tcPr>
            <w:tcW w:type="dxa" w:w="3528"/>
            <w:shd w:val="clear" w:fill="EEF4F8"/>
          </w:tcPr>
          <w:p>
            <w:pPr>
              <w:spacing w:after="20"/>
            </w:pPr>
            <w:r/>
            <w:r>
              <w:rPr>
                <w:b w:val="0"/>
                <w:sz w:val="17"/>
              </w:rPr>
              <w:t>419</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DT_PNL_SUMMARY</w:t>
            </w:r>
          </w:p>
        </w:tc>
        <w:tc>
          <w:tcPr>
            <w:tcW w:type="dxa" w:w="3528"/>
          </w:tcPr>
          <w:p>
            <w:pPr>
              <w:spacing w:after="20"/>
            </w:pPr>
            <w:r/>
            <w:r>
              <w:rPr>
                <w:b w:val="0"/>
                <w:sz w:val="17"/>
              </w:rPr>
              <w:t>81</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b/>
                <w:sz w:val="17"/>
              </w:rPr>
              <w:t>Total</w:t>
            </w:r>
          </w:p>
        </w:tc>
        <w:tc>
          <w:tcPr>
            <w:tcW w:type="dxa" w:w="3528"/>
            <w:shd w:val="clear" w:fill="EEF4F8"/>
          </w:tcPr>
          <w:p>
            <w:pPr>
              <w:spacing w:after="20"/>
            </w:pPr>
            <w:r/>
            <w:r>
              <w:rPr>
                <w:b/>
                <w:sz w:val="17"/>
              </w:rPr>
              <w:t>20,011</w:t>
            </w:r>
          </w:p>
        </w:tc>
        <w:tc>
          <w:tcPr>
            <w:tcW w:type="dxa" w:w="3528"/>
            <w:shd w:val="clear" w:fill="EEF4F8"/>
          </w:tcPr>
          <w:p>
            <w:pPr>
              <w:spacing w:after="20"/>
            </w:pPr>
            <w:r/>
            <w:r>
              <w:rPr>
                <w:b w:val="0"/>
                <w:sz w:val="17"/>
              </w:rPr>
              <w:t>7 objects, 6 dynamic</w:t>
            </w:r>
          </w:p>
        </w:tc>
      </w:tr>
    </w:tbl>
    <w:p>
      <w:pPr>
        <w:spacing w:after="80"/>
      </w:pPr>
    </w:p>
    <w:p>
      <w:pPr>
        <w:spacing w:after="120"/>
      </w:pPr>
      <w:r>
        <w:rPr>
          <w:rFonts w:ascii="Consolas" w:hAnsi="Consolas"/>
          <w:b w:val="0"/>
          <w:i w:val="0"/>
          <w:color w:val="1B5E8C"/>
          <w:sz w:val="19"/>
        </w:rPr>
        <w:t>DT_AR_AGING</w:t>
      </w:r>
      <w:r>
        <w:rPr>
          <w:b w:val="0"/>
          <w:i w:val="0"/>
          <w:sz w:val="20"/>
        </w:rPr>
        <w:t xml:space="preserve"> carries the </w:t>
      </w:r>
      <w:r>
        <w:rPr>
          <w:rFonts w:ascii="Consolas" w:hAnsi="Consolas"/>
          <w:b w:val="0"/>
          <w:i w:val="0"/>
          <w:color w:val="1B5E8C"/>
          <w:sz w:val="19"/>
        </w:rPr>
        <w:t>DT_</w:t>
      </w:r>
      <w:r>
        <w:rPr>
          <w:b w:val="0"/>
          <w:i w:val="0"/>
          <w:sz w:val="20"/>
        </w:rPr>
        <w:t xml:space="preserve"> prefix and is not a dynamic table. </w:t>
      </w:r>
      <w:r>
        <w:rPr>
          <w:rFonts w:ascii="Consolas" w:hAnsi="Consolas"/>
          <w:b w:val="0"/>
          <w:i w:val="0"/>
          <w:color w:val="1B5E8C"/>
          <w:sz w:val="19"/>
        </w:rPr>
        <w:t>SHOW DYNAMIC TABLES</w:t>
      </w:r>
      <w:r>
        <w:rPr>
          <w:b w:val="0"/>
          <w:i w:val="0"/>
          <w:sz w:val="20"/>
        </w:rPr>
        <w:t xml:space="preserve"> returns six names and this is not one of them. The naming convention asserts something about the object that is false, and anyone maintaining this stack should know it before they go looking for a refresh history that does not exist. The reason, and why it is defensible, is in findings (05-findings.md#ar-is-generated-not-shared).</w:t>
      </w:r>
    </w:p>
    <w:p>
      <w:pPr>
        <w:spacing w:after="120"/>
      </w:pPr>
      <w:r>
        <w:rPr>
          <w:b w:val="0"/>
          <w:i w:val="0"/>
          <w:sz w:val="20"/>
        </w:rPr>
        <w:t xml:space="preserve">The six real dynamic tables are declared </w:t>
      </w:r>
      <w:r>
        <w:rPr>
          <w:rFonts w:ascii="Consolas" w:hAnsi="Consolas"/>
          <w:b w:val="0"/>
          <w:i w:val="0"/>
          <w:color w:val="1B5E8C"/>
          <w:sz w:val="19"/>
        </w:rPr>
        <w:t>TARGET_LAG = 'DOWNSTREAM'</w:t>
      </w:r>
      <w:r>
        <w:rPr>
          <w:b w:val="0"/>
          <w:i w:val="0"/>
          <w:sz w:val="20"/>
        </w:rPr>
        <w:t>, so refresh is driven by what consumes them rather than by a fixed schedule.</w:t>
      </w:r>
    </w:p>
    <w:p>
      <w:pPr>
        <w:keepNext/>
        <w:spacing w:before="160" w:after="40"/>
        <w:outlineLvl w:val="2"/>
      </w:pPr>
      <w:r>
        <w:rPr>
          <w:b/>
          <w:color w:val="29B5E8"/>
          <w:sz w:val="20"/>
        </w:rPr>
        <w:t>The aggregation grain</w:t>
      </w:r>
    </w:p>
    <w:p>
      <w:pPr>
        <w:spacing w:after="120"/>
      </w:pPr>
      <w:r>
        <w:rPr>
          <w:rFonts w:ascii="Consolas" w:hAnsi="Consolas"/>
          <w:b w:val="0"/>
          <w:i w:val="0"/>
          <w:color w:val="1B5E8C"/>
          <w:sz w:val="19"/>
        </w:rPr>
        <w:t>DT_JOURNAL_ENTRY_360</w:t>
      </w:r>
      <w:r>
        <w:rPr>
          <w:b w:val="0"/>
          <w:i w:val="0"/>
          <w:sz w:val="20"/>
        </w:rPr>
        <w:t xml:space="preserve"> is the wide fact object — journal line items joined to their header and to the cost centre, profit centre and GL account masters. The remaining five dynamic tables are aggregations over it or over </w:t>
      </w:r>
      <w:r>
        <w:rPr>
          <w:rFonts w:ascii="Consolas" w:hAnsi="Consolas"/>
          <w:b w:val="0"/>
          <w:i w:val="0"/>
          <w:color w:val="1B5E8C"/>
          <w:sz w:val="19"/>
        </w:rPr>
        <w:t>SUPPLIERINVOICE</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Object</w:t>
            </w:r>
          </w:p>
        </w:tc>
        <w:tc>
          <w:tcPr>
            <w:tcW w:type="dxa" w:w="7056"/>
            <w:shd w:val="clear" w:fill="1B3A57"/>
          </w:tcPr>
          <w:p>
            <w:pPr>
              <w:spacing w:after="20"/>
            </w:pPr>
            <w:r/>
            <w:r>
              <w:rPr>
                <w:b/>
                <w:color w:val="FFFFFF"/>
                <w:sz w:val="17"/>
              </w:rPr>
              <w:t>Grain</w:t>
            </w:r>
          </w:p>
        </w:tc>
      </w:tr>
      <w:tr>
        <w:trPr>
          <w:cantSplit/>
        </w:trPr>
        <w:tc>
          <w:tcPr>
            <w:tcW w:type="dxa" w:w="2880"/>
          </w:tcPr>
          <w:p>
            <w:pPr>
              <w:spacing w:after="20"/>
            </w:pPr>
            <w:r/>
            <w:r>
              <w:rPr>
                <w:rFonts w:ascii="Consolas" w:hAnsi="Consolas"/>
                <w:b w:val="0"/>
                <w:color w:val="1B5E8C"/>
                <w:sz w:val="16"/>
              </w:rPr>
              <w:t>DT_GL_BALANCE</w:t>
            </w:r>
          </w:p>
        </w:tc>
        <w:tc>
          <w:tcPr>
            <w:tcW w:type="dxa" w:w="7056"/>
          </w:tcPr>
          <w:p>
            <w:pPr>
              <w:spacing w:after="20"/>
            </w:pPr>
            <w:r/>
            <w:r>
              <w:rPr>
                <w:b w:val="0"/>
                <w:sz w:val="17"/>
              </w:rPr>
              <w:t>GL account × period</w:t>
            </w:r>
          </w:p>
        </w:tc>
      </w:tr>
      <w:tr>
        <w:trPr>
          <w:cantSplit/>
        </w:trPr>
        <w:tc>
          <w:tcPr>
            <w:tcW w:type="dxa" w:w="2880"/>
            <w:shd w:val="clear" w:fill="EEF4F8"/>
          </w:tcPr>
          <w:p>
            <w:pPr>
              <w:spacing w:after="20"/>
            </w:pPr>
            <w:r/>
            <w:r>
              <w:rPr>
                <w:rFonts w:ascii="Consolas" w:hAnsi="Consolas"/>
                <w:b w:val="0"/>
                <w:color w:val="1B5E8C"/>
                <w:sz w:val="16"/>
              </w:rPr>
              <w:t>DT_PNL_SUMMARY</w:t>
            </w:r>
          </w:p>
        </w:tc>
        <w:tc>
          <w:tcPr>
            <w:tcW w:type="dxa" w:w="7056"/>
            <w:shd w:val="clear" w:fill="EEF4F8"/>
          </w:tcPr>
          <w:p>
            <w:pPr>
              <w:spacing w:after="20"/>
            </w:pPr>
            <w:r/>
            <w:r>
              <w:rPr>
                <w:b w:val="0"/>
                <w:sz w:val="17"/>
              </w:rPr>
              <w:t>fiscal year × company code, revenue / expense / net</w:t>
            </w:r>
          </w:p>
        </w:tc>
      </w:tr>
      <w:tr>
        <w:trPr>
          <w:cantSplit/>
        </w:trPr>
        <w:tc>
          <w:tcPr>
            <w:tcW w:type="dxa" w:w="2880"/>
          </w:tcPr>
          <w:p>
            <w:pPr>
              <w:spacing w:after="20"/>
            </w:pPr>
            <w:r/>
            <w:r>
              <w:rPr>
                <w:rFonts w:ascii="Consolas" w:hAnsi="Consolas"/>
                <w:b w:val="0"/>
                <w:color w:val="1B5E8C"/>
                <w:sz w:val="16"/>
              </w:rPr>
              <w:t>DT_EXPENSE_BY_COSTCENTER</w:t>
            </w:r>
          </w:p>
        </w:tc>
        <w:tc>
          <w:tcPr>
            <w:tcW w:type="dxa" w:w="7056"/>
          </w:tcPr>
          <w:p>
            <w:pPr>
              <w:spacing w:after="20"/>
            </w:pPr>
            <w:r/>
            <w:r>
              <w:rPr>
                <w:b w:val="0"/>
                <w:sz w:val="17"/>
              </w:rPr>
              <w:t>cost centre × period</w:t>
            </w:r>
          </w:p>
        </w:tc>
      </w:tr>
      <w:tr>
        <w:trPr>
          <w:cantSplit/>
        </w:trPr>
        <w:tc>
          <w:tcPr>
            <w:tcW w:type="dxa" w:w="2880"/>
            <w:shd w:val="clear" w:fill="EEF4F8"/>
          </w:tcPr>
          <w:p>
            <w:pPr>
              <w:spacing w:after="20"/>
            </w:pPr>
            <w:r/>
            <w:r>
              <w:rPr>
                <w:rFonts w:ascii="Consolas" w:hAnsi="Consolas"/>
                <w:b w:val="0"/>
                <w:color w:val="1B5E8C"/>
                <w:sz w:val="16"/>
              </w:rPr>
              <w:t>DT_REVENUE_BY_PROFITCENTER</w:t>
            </w:r>
          </w:p>
        </w:tc>
        <w:tc>
          <w:tcPr>
            <w:tcW w:type="dxa" w:w="7056"/>
            <w:shd w:val="clear" w:fill="EEF4F8"/>
          </w:tcPr>
          <w:p>
            <w:pPr>
              <w:spacing w:after="20"/>
            </w:pPr>
            <w:r/>
            <w:r>
              <w:rPr>
                <w:b w:val="0"/>
                <w:sz w:val="17"/>
              </w:rPr>
              <w:t>profit centre × period</w:t>
            </w:r>
          </w:p>
        </w:tc>
      </w:tr>
      <w:tr>
        <w:trPr>
          <w:cantSplit/>
        </w:trPr>
        <w:tc>
          <w:tcPr>
            <w:tcW w:type="dxa" w:w="2880"/>
          </w:tcPr>
          <w:p>
            <w:pPr>
              <w:spacing w:after="20"/>
            </w:pPr>
            <w:r/>
            <w:r>
              <w:rPr>
                <w:rFonts w:ascii="Consolas" w:hAnsi="Consolas"/>
                <w:b w:val="0"/>
                <w:color w:val="1B5E8C"/>
                <w:sz w:val="16"/>
              </w:rPr>
              <w:t>DT_AP_AGING</w:t>
            </w:r>
          </w:p>
        </w:tc>
        <w:tc>
          <w:tcPr>
            <w:tcW w:type="dxa" w:w="7056"/>
          </w:tcPr>
          <w:p>
            <w:pPr>
              <w:spacing w:after="20"/>
            </w:pPr>
            <w:r/>
            <w:r>
              <w:rPr>
                <w:b w:val="0"/>
                <w:sz w:val="17"/>
              </w:rPr>
              <w:t>supplier invoice, bucketed by days outstanding</w:t>
            </w:r>
          </w:p>
        </w:tc>
      </w:tr>
    </w:tbl>
    <w:p>
      <w:pPr>
        <w:spacing w:after="80"/>
      </w:pPr>
    </w:p>
    <w:p>
      <w:pPr>
        <w:spacing w:after="120"/>
      </w:pPr>
      <w:r>
        <w:rPr>
          <w:rFonts w:ascii="Consolas" w:hAnsi="Consolas"/>
          <w:b w:val="0"/>
          <w:i w:val="0"/>
          <w:color w:val="1B5E8C"/>
          <w:sz w:val="19"/>
        </w:rPr>
        <w:t>DT_PNL_SUMMARY</w:t>
      </w:r>
      <w:r>
        <w:rPr>
          <w:b w:val="0"/>
          <w:i w:val="0"/>
          <w:sz w:val="20"/>
        </w:rPr>
        <w:t xml:space="preserve"> is the smallest object at 81 rows and the one most likely to be read by a human directly, because it is already signed correctly — the </w:t>
      </w:r>
      <w:r>
        <w:rPr>
          <w:rFonts w:ascii="Consolas" w:hAnsi="Consolas"/>
          <w:b w:val="0"/>
          <w:i w:val="0"/>
          <w:color w:val="1B5E8C"/>
          <w:sz w:val="19"/>
        </w:rPr>
        <w:t>ABS</w:t>
      </w:r>
      <w:r>
        <w:rPr>
          <w:b w:val="0"/>
          <w:i w:val="0"/>
          <w:sz w:val="20"/>
        </w:rPr>
        <w:t xml:space="preserve"> and </w:t>
      </w:r>
      <w:r>
        <w:rPr>
          <w:rFonts w:ascii="Consolas" w:hAnsi="Consolas"/>
          <w:b w:val="0"/>
          <w:i w:val="0"/>
          <w:color w:val="1B5E8C"/>
          <w:sz w:val="19"/>
        </w:rPr>
        <w:t>DEBITCREDITCODE</w:t>
      </w:r>
      <w:r>
        <w:rPr>
          <w:b w:val="0"/>
          <w:i w:val="0"/>
          <w:sz w:val="20"/>
        </w:rPr>
        <w:t xml:space="preserve"> handling happens inside it.</w:t>
      </w:r>
    </w:p>
    <w:p>
      <w:pPr>
        <w:spacing w:before="80" w:after="160"/>
        <w:jc w:val="center"/>
      </w:pPr>
      <w:r>
        <w:rPr>
          <w:color w:val="C8D4DE"/>
          <w:sz w:val="12"/>
        </w:rPr>
        <w:t>──────────────────────────────────────────────────────────</w:t>
      </w:r>
    </w:p>
    <w:p>
      <w:pPr>
        <w:keepNext/>
        <w:spacing w:before="240" w:after="60"/>
        <w:outlineLvl w:val="1"/>
      </w:pPr>
      <w:r>
        <w:rPr>
          <w:b/>
          <w:color w:val="1B3A57"/>
          <w:sz w:val="23"/>
        </w:rPr>
        <w:t>The app reads two layers</w:t>
      </w:r>
    </w:p>
    <w:p>
      <w:pPr>
        <w:spacing w:after="120"/>
      </w:pPr>
      <w:r>
        <w:rPr>
          <w:b w:val="0"/>
          <w:i w:val="0"/>
          <w:sz w:val="20"/>
        </w:rPr>
        <w:t xml:space="preserve">The Express server's </w:t>
      </w:r>
      <w:r>
        <w:rPr>
          <w:rFonts w:ascii="Consolas" w:hAnsi="Consolas"/>
          <w:b w:val="0"/>
          <w:i w:val="0"/>
          <w:color w:val="1B5E8C"/>
          <w:sz w:val="19"/>
        </w:rPr>
        <w:t>api.ts</w:t>
      </w:r>
      <w:r>
        <w:rPr>
          <w:b w:val="0"/>
          <w:i w:val="0"/>
          <w:sz w:val="20"/>
        </w:rPr>
        <w:t xml:space="preserve"> issues its queries against both L0 shares and L2, not against L2 alone: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Source</w:t>
            </w:r>
          </w:p>
        </w:tc>
        <w:tc>
          <w:tcPr>
            <w:tcW w:type="dxa" w:w="7056"/>
            <w:shd w:val="clear" w:fill="1B3A57"/>
          </w:tcPr>
          <w:p>
            <w:pPr>
              <w:spacing w:after="20"/>
            </w:pPr>
            <w:r/>
            <w:r>
              <w:rPr>
                <w:b/>
                <w:color w:val="FFFFFF"/>
                <w:sz w:val="17"/>
              </w:rPr>
              <w:t>FROM clauses</w:t>
            </w:r>
          </w:p>
        </w:tc>
      </w:tr>
      <w:tr>
        <w:trPr>
          <w:cantSplit/>
        </w:trPr>
        <w:tc>
          <w:tcPr>
            <w:tcW w:type="dxa" w:w="2880"/>
          </w:tcPr>
          <w:p>
            <w:pPr>
              <w:spacing w:after="20"/>
            </w:pPr>
            <w:r/>
            <w:r>
              <w:rPr>
                <w:rFonts w:ascii="Consolas" w:hAnsi="Consolas"/>
                <w:b w:val="0"/>
                <w:color w:val="1B5E8C"/>
                <w:sz w:val="16"/>
              </w:rPr>
              <w:t>SAP_BDC_DEMO_ENTRY_VIEW_JOURNAL_ENTRY.BDCCONNECT.OPERATIONALACCTGDOCITEM</w:t>
            </w:r>
          </w:p>
        </w:tc>
        <w:tc>
          <w:tcPr>
            <w:tcW w:type="dxa" w:w="7056"/>
          </w:tcPr>
          <w:p>
            <w:pPr>
              <w:spacing w:after="20"/>
            </w:pPr>
            <w:r/>
            <w:r>
              <w:rPr>
                <w:b w:val="0"/>
                <w:sz w:val="17"/>
              </w:rPr>
              <w:t>13</w:t>
            </w:r>
          </w:p>
        </w:tc>
      </w:tr>
      <w:tr>
        <w:trPr>
          <w:cantSplit/>
        </w:trPr>
        <w:tc>
          <w:tcPr>
            <w:tcW w:type="dxa" w:w="2880"/>
            <w:shd w:val="clear" w:fill="EEF4F8"/>
          </w:tcPr>
          <w:p>
            <w:pPr>
              <w:spacing w:after="20"/>
            </w:pPr>
            <w:r/>
            <w:r>
              <w:rPr>
                <w:rFonts w:ascii="Consolas" w:hAnsi="Consolas"/>
                <w:b w:val="0"/>
                <w:color w:val="1B5E8C"/>
                <w:sz w:val="16"/>
              </w:rPr>
              <w:t>SAP_FINANCE_360.ANALYTICS.DT_EXPENSE_BY_COSTCENTER</w:t>
            </w:r>
          </w:p>
        </w:tc>
        <w:tc>
          <w:tcPr>
            <w:tcW w:type="dxa" w:w="7056"/>
            <w:shd w:val="clear" w:fill="EEF4F8"/>
          </w:tcPr>
          <w:p>
            <w:pPr>
              <w:spacing w:after="20"/>
            </w:pPr>
            <w:r/>
            <w:r>
              <w:rPr>
                <w:b w:val="0"/>
                <w:sz w:val="17"/>
              </w:rPr>
              <w:t>7</w:t>
            </w:r>
          </w:p>
        </w:tc>
      </w:tr>
      <w:tr>
        <w:trPr>
          <w:cantSplit/>
        </w:trPr>
        <w:tc>
          <w:tcPr>
            <w:tcW w:type="dxa" w:w="2880"/>
          </w:tcPr>
          <w:p>
            <w:pPr>
              <w:spacing w:after="20"/>
            </w:pPr>
            <w:r/>
            <w:r>
              <w:rPr>
                <w:rFonts w:ascii="Consolas" w:hAnsi="Consolas"/>
                <w:b w:val="0"/>
                <w:color w:val="1B5E8C"/>
                <w:sz w:val="16"/>
              </w:rPr>
              <w:t>SAP_FINANCE_360.ANALYTICS.DT_AR_AGING</w:t>
            </w:r>
          </w:p>
        </w:tc>
        <w:tc>
          <w:tcPr>
            <w:tcW w:type="dxa" w:w="7056"/>
          </w:tcPr>
          <w:p>
            <w:pPr>
              <w:spacing w:after="20"/>
            </w:pPr>
            <w:r/>
            <w:r>
              <w:rPr>
                <w:b w:val="0"/>
                <w:sz w:val="17"/>
              </w:rPr>
              <w:t>7</w:t>
            </w:r>
          </w:p>
        </w:tc>
      </w:tr>
      <w:tr>
        <w:trPr>
          <w:cantSplit/>
        </w:trPr>
        <w:tc>
          <w:tcPr>
            <w:tcW w:type="dxa" w:w="2880"/>
            <w:shd w:val="clear" w:fill="EEF4F8"/>
          </w:tcPr>
          <w:p>
            <w:pPr>
              <w:spacing w:after="20"/>
            </w:pPr>
            <w:r/>
            <w:r>
              <w:rPr>
                <w:rFonts w:ascii="Consolas" w:hAnsi="Consolas"/>
                <w:b w:val="0"/>
                <w:color w:val="1B5E8C"/>
                <w:sz w:val="16"/>
              </w:rPr>
              <w:t>SAP_BDC_DEMO_SUPPLIER_INVOICE.BDCCONNECT.SUPPLIERINVOICE</w:t>
            </w:r>
          </w:p>
        </w:tc>
        <w:tc>
          <w:tcPr>
            <w:tcW w:type="dxa" w:w="7056"/>
            <w:shd w:val="clear" w:fill="EEF4F8"/>
          </w:tcPr>
          <w:p>
            <w:pPr>
              <w:spacing w:after="20"/>
            </w:pPr>
            <w:r/>
            <w:r>
              <w:rPr>
                <w:b w:val="0"/>
                <w:sz w:val="17"/>
              </w:rPr>
              <w:t>6</w:t>
            </w:r>
          </w:p>
        </w:tc>
      </w:tr>
      <w:tr>
        <w:trPr>
          <w:cantSplit/>
        </w:trPr>
        <w:tc>
          <w:tcPr>
            <w:tcW w:type="dxa" w:w="2880"/>
          </w:tcPr>
          <w:p>
            <w:pPr>
              <w:spacing w:after="20"/>
            </w:pPr>
            <w:r/>
            <w:r>
              <w:rPr>
                <w:rFonts w:ascii="Consolas" w:hAnsi="Consolas"/>
                <w:b w:val="0"/>
                <w:color w:val="1B5E8C"/>
                <w:sz w:val="16"/>
              </w:rPr>
              <w:t>SAP_FINANCE_360.ANALYTICS.DT_REVENUE_BY_PROFITCENTER</w:t>
            </w:r>
          </w:p>
        </w:tc>
        <w:tc>
          <w:tcPr>
            <w:tcW w:type="dxa" w:w="7056"/>
          </w:tcPr>
          <w:p>
            <w:pPr>
              <w:spacing w:after="20"/>
            </w:pPr>
            <w:r/>
            <w:r>
              <w:rPr>
                <w:b w:val="0"/>
                <w:sz w:val="17"/>
              </w:rPr>
              <w:t>5</w:t>
            </w:r>
          </w:p>
        </w:tc>
      </w:tr>
      <w:tr>
        <w:trPr>
          <w:cantSplit/>
        </w:trPr>
        <w:tc>
          <w:tcPr>
            <w:tcW w:type="dxa" w:w="2880"/>
            <w:shd w:val="clear" w:fill="EEF4F8"/>
          </w:tcPr>
          <w:p>
            <w:pPr>
              <w:spacing w:after="20"/>
            </w:pPr>
            <w:r/>
            <w:r>
              <w:rPr>
                <w:rFonts w:ascii="Consolas" w:hAnsi="Consolas"/>
                <w:b w:val="0"/>
                <w:color w:val="1B5E8C"/>
                <w:sz w:val="16"/>
              </w:rPr>
              <w:t>SAP_BDC_DEMO_JOURNAL_ENTRY_HEADER.BDCCONNECT.JOURNALENTRY</w:t>
            </w:r>
          </w:p>
        </w:tc>
        <w:tc>
          <w:tcPr>
            <w:tcW w:type="dxa" w:w="7056"/>
            <w:shd w:val="clear" w:fill="EEF4F8"/>
          </w:tcPr>
          <w:p>
            <w:pPr>
              <w:spacing w:after="20"/>
            </w:pPr>
            <w:r/>
            <w:r>
              <w:rPr>
                <w:b w:val="0"/>
                <w:sz w:val="17"/>
              </w:rPr>
              <w:t>2</w:t>
            </w:r>
          </w:p>
        </w:tc>
      </w:tr>
      <w:tr>
        <w:trPr>
          <w:cantSplit/>
        </w:trPr>
        <w:tc>
          <w:tcPr>
            <w:tcW w:type="dxa" w:w="2880"/>
          </w:tcPr>
          <w:p>
            <w:pPr>
              <w:spacing w:after="20"/>
            </w:pPr>
            <w:r/>
            <w:r>
              <w:rPr>
                <w:rFonts w:ascii="Consolas" w:hAnsi="Consolas"/>
                <w:b w:val="0"/>
                <w:color w:val="1B5E8C"/>
                <w:sz w:val="16"/>
              </w:rPr>
              <w:t>SAP_FINANCE_360.ANALYTICS.DT_AP_AGING</w:t>
            </w:r>
          </w:p>
        </w:tc>
        <w:tc>
          <w:tcPr>
            <w:tcW w:type="dxa" w:w="7056"/>
          </w:tcPr>
          <w:p>
            <w:pPr>
              <w:spacing w:after="20"/>
            </w:pPr>
            <w:r/>
            <w:r>
              <w:rPr>
                <w:b w:val="0"/>
                <w:sz w:val="17"/>
              </w:rPr>
              <w:t>1</w:t>
            </w:r>
          </w:p>
        </w:tc>
      </w:tr>
    </w:tbl>
    <w:p>
      <w:pPr>
        <w:spacing w:after="80"/>
      </w:pPr>
    </w:p>
    <w:p>
      <w:pPr>
        <w:spacing w:after="120"/>
      </w:pPr>
      <w:r>
        <w:rPr>
          <w:b w:val="0"/>
          <w:i w:val="0"/>
          <w:sz w:val="20"/>
        </w:rPr>
        <w:t xml:space="preserve">That is </w:t>
      </w:r>
      <w:r>
        <w:rPr>
          <w:b/>
          <w:i w:val="0"/>
          <w:sz w:val="20"/>
        </w:rPr>
        <w:t>21 reads straight against the shares</w:t>
      </w:r>
      <w:r>
        <w:rPr>
          <w:b w:val="0"/>
          <w:i w:val="0"/>
          <w:sz w:val="20"/>
        </w:rPr>
        <w:t xml:space="preserve"> and </w:t>
      </w:r>
      <w:r>
        <w:rPr>
          <w:b/>
          <w:i w:val="0"/>
          <w:sz w:val="20"/>
        </w:rPr>
        <w:t>20 against L2</w:t>
      </w:r>
      <w:r>
        <w:rPr>
          <w:b w:val="0"/>
          <w:i w:val="0"/>
          <w:sz w:val="20"/>
        </w:rPr>
        <w:t xml:space="preserve"> — very nearly an even split, and the largest single source is L0, not L2.</w:t>
      </w:r>
    </w:p>
    <w:p>
      <w:pPr>
        <w:spacing w:after="120"/>
      </w:pPr>
      <w:r>
        <w:rPr>
          <w:b w:val="0"/>
          <w:i w:val="0"/>
          <w:sz w:val="20"/>
        </w:rPr>
        <w:t xml:space="preserve">Two things follow. First, the app is a live demonstration of zero-copy rather than a warehouse dashboard: a third of its queries touch the provider's storage directly. Second, </w:t>
      </w:r>
      <w:r>
        <w:rPr>
          <w:b/>
          <w:i w:val="0"/>
          <w:sz w:val="20"/>
        </w:rPr>
        <w:t>the app does not skip L1 by accident — it skips it by design</w:t>
      </w:r>
      <w:r>
        <w:rPr>
          <w:b w:val="0"/>
          <w:i w:val="0"/>
          <w:sz w:val="20"/>
        </w:rPr>
        <w:t>, because L1 adds only comments, and a query that needs no comments gains nothing by routing through a second view.</w:t>
      </w:r>
    </w:p>
    <w:p>
      <w:pPr>
        <w:spacing w:after="120"/>
      </w:pPr>
      <w:r>
        <w:rPr>
          <w:b w:val="0"/>
          <w:i w:val="0"/>
          <w:sz w:val="20"/>
        </w:rPr>
        <w:t>The cost is that the signed-amount discipline has to be repeated in application SQL for those 21 clauses, since they do not inherit L2's handling.</w:t>
      </w:r>
    </w:p>
    <w:p>
      <w:pPr>
        <w:spacing w:after="120"/>
      </w:pPr>
      <w:r>
        <w:rPr>
          <w:b w:val="0"/>
          <w:i w:val="0"/>
          <w:sz w:val="20"/>
        </w:rPr>
        <w:t xml:space="preserve">Note also that </w:t>
      </w:r>
      <w:r>
        <w:rPr>
          <w:rFonts w:ascii="Consolas" w:hAnsi="Consolas"/>
          <w:b w:val="0"/>
          <w:i w:val="0"/>
          <w:color w:val="1B5E8C"/>
          <w:sz w:val="19"/>
        </w:rPr>
        <w:t>DT_GL_BALANCE</w:t>
      </w:r>
      <w:r>
        <w:rPr>
          <w:b w:val="0"/>
          <w:i w:val="0"/>
          <w:sz w:val="20"/>
        </w:rPr>
        <w:t xml:space="preserve"> and </w:t>
      </w:r>
      <w:r>
        <w:rPr>
          <w:rFonts w:ascii="Consolas" w:hAnsi="Consolas"/>
          <w:b w:val="0"/>
          <w:i w:val="0"/>
          <w:color w:val="1B5E8C"/>
          <w:sz w:val="19"/>
        </w:rPr>
        <w:t>DT_PNL_SUMMARY</w:t>
      </w:r>
      <w:r>
        <w:rPr>
          <w:b w:val="0"/>
          <w:i w:val="0"/>
          <w:sz w:val="20"/>
        </w:rPr>
        <w:t xml:space="preserve"> appear nowhere in the table above. The General Ledger and Period Analysis pages compute from L0 rather than reading the matching L2 aggregate.</w:t>
      </w:r>
    </w:p>
    <w:p>
      <w:pPr>
        <w:spacing w:before="80" w:after="160"/>
        <w:jc w:val="center"/>
      </w:pPr>
      <w:r>
        <w:rPr>
          <w:color w:val="C8D4DE"/>
          <w:sz w:val="12"/>
        </w:rPr>
        <w:t>──────────────────────────────────────────────────────────</w:t>
      </w:r>
    </w:p>
    <w:p>
      <w:pPr>
        <w:keepNext/>
        <w:spacing w:before="240" w:after="60"/>
        <w:outlineLvl w:val="1"/>
      </w:pPr>
      <w:r>
        <w:rPr>
          <w:b/>
          <w:color w:val="1B3A57"/>
          <w:sz w:val="23"/>
        </w:rPr>
        <w:t>Semantic objects</w:t>
      </w:r>
    </w:p>
    <w:p>
      <w:pPr>
        <w:spacing w:after="120"/>
      </w:pPr>
      <w:r>
        <w:rPr>
          <w:b w:val="0"/>
          <w:i w:val="0"/>
          <w:sz w:val="20"/>
        </w:rPr>
        <w:t>Two semantic views exist. They differ in which L2 objects they expose and whether they declare relationships.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ANALYTICS.SAP_FINANCE_360</w:t>
            </w:r>
          </w:p>
        </w:tc>
        <w:tc>
          <w:tcPr>
            <w:tcW w:type="dxa" w:w="3528"/>
            <w:shd w:val="clear" w:fill="1B3A57"/>
          </w:tcPr>
          <w:p>
            <w:pPr>
              <w:spacing w:after="20"/>
            </w:pPr>
            <w:r/>
            <w:r>
              <w:rPr>
                <w:b/>
                <w:color w:val="FFFFFF"/>
                <w:sz w:val="17"/>
              </w:rPr>
              <w:t>SEMANTIC.SAP_FINANCE_360_ANALYTICS</w:t>
            </w:r>
          </w:p>
        </w:tc>
      </w:tr>
      <w:tr>
        <w:trPr>
          <w:cantSplit/>
        </w:trPr>
        <w:tc>
          <w:tcPr>
            <w:tcW w:type="dxa" w:w="2880"/>
          </w:tcPr>
          <w:p>
            <w:pPr>
              <w:spacing w:after="20"/>
            </w:pPr>
            <w:r/>
            <w:r>
              <w:rPr>
                <w:b w:val="0"/>
                <w:sz w:val="17"/>
              </w:rPr>
              <w:t>Logical tables</w:t>
            </w:r>
          </w:p>
        </w:tc>
        <w:tc>
          <w:tcPr>
            <w:tcW w:type="dxa" w:w="3528"/>
          </w:tcPr>
          <w:p>
            <w:pPr>
              <w:spacing w:after="20"/>
            </w:pPr>
            <w:r/>
            <w:r>
              <w:rPr>
                <w:rFonts w:ascii="Consolas" w:hAnsi="Consolas"/>
                <w:b w:val="0"/>
                <w:color w:val="1B5E8C"/>
                <w:sz w:val="16"/>
              </w:rPr>
              <w:t>AR</w:t>
            </w:r>
            <w:r>
              <w:rPr>
                <w:b w:val="0"/>
                <w:sz w:val="17"/>
              </w:rPr>
              <w:t xml:space="preserve">, </w:t>
            </w:r>
            <w:r>
              <w:rPr>
                <w:rFonts w:ascii="Consolas" w:hAnsi="Consolas"/>
                <w:b w:val="0"/>
                <w:color w:val="1B5E8C"/>
                <w:sz w:val="16"/>
              </w:rPr>
              <w:t>EXPENSE</w:t>
            </w:r>
            <w:r>
              <w:rPr>
                <w:b w:val="0"/>
                <w:sz w:val="17"/>
              </w:rPr>
              <w:t xml:space="preserve">, </w:t>
            </w:r>
            <w:r>
              <w:rPr>
                <w:rFonts w:ascii="Consolas" w:hAnsi="Consolas"/>
                <w:b w:val="0"/>
                <w:color w:val="1B5E8C"/>
                <w:sz w:val="16"/>
              </w:rPr>
              <w:t>JOURNAL</w:t>
            </w:r>
            <w:r>
              <w:rPr>
                <w:b w:val="0"/>
                <w:sz w:val="17"/>
              </w:rPr>
              <w:t xml:space="preserve">, </w:t>
            </w:r>
            <w:r>
              <w:rPr>
                <w:rFonts w:ascii="Consolas" w:hAnsi="Consolas"/>
                <w:b w:val="0"/>
                <w:color w:val="1B5E8C"/>
                <w:sz w:val="16"/>
              </w:rPr>
              <w:t>REVENUE</w:t>
            </w:r>
          </w:p>
        </w:tc>
        <w:tc>
          <w:tcPr>
            <w:tcW w:type="dxa" w:w="3528"/>
          </w:tcPr>
          <w:p>
            <w:pPr>
              <w:spacing w:after="20"/>
            </w:pPr>
            <w:r/>
            <w:r>
              <w:rPr>
                <w:rFonts w:ascii="Consolas" w:hAnsi="Consolas"/>
                <w:b w:val="0"/>
                <w:color w:val="1B5E8C"/>
                <w:sz w:val="16"/>
              </w:rPr>
              <w:t>AP_AGING</w:t>
            </w:r>
            <w:r>
              <w:rPr>
                <w:b w:val="0"/>
                <w:sz w:val="17"/>
              </w:rPr>
              <w:t xml:space="preserve">, </w:t>
            </w:r>
            <w:r>
              <w:rPr>
                <w:rFonts w:ascii="Consolas" w:hAnsi="Consolas"/>
                <w:b w:val="0"/>
                <w:color w:val="1B5E8C"/>
                <w:sz w:val="16"/>
              </w:rPr>
              <w:t>EXPENSE_BY_COSTCENTER</w:t>
            </w:r>
            <w:r>
              <w:rPr>
                <w:b w:val="0"/>
                <w:sz w:val="17"/>
              </w:rPr>
              <w:t xml:space="preserve">, </w:t>
            </w:r>
            <w:r>
              <w:rPr>
                <w:rFonts w:ascii="Consolas" w:hAnsi="Consolas"/>
                <w:b w:val="0"/>
                <w:color w:val="1B5E8C"/>
                <w:sz w:val="16"/>
              </w:rPr>
              <w:t>JOURNAL_ENTRY</w:t>
            </w:r>
            <w:r>
              <w:rPr>
                <w:b w:val="0"/>
                <w:sz w:val="17"/>
              </w:rPr>
              <w:t xml:space="preserve">, </w:t>
            </w:r>
            <w:r>
              <w:rPr>
                <w:rFonts w:ascii="Consolas" w:hAnsi="Consolas"/>
                <w:b w:val="0"/>
                <w:color w:val="1B5E8C"/>
                <w:sz w:val="16"/>
              </w:rPr>
              <w:t>PNL_SUMMARY</w:t>
            </w:r>
            <w:r>
              <w:rPr>
                <w:b w:val="0"/>
                <w:sz w:val="17"/>
              </w:rPr>
              <w:t xml:space="preserve">, </w:t>
            </w:r>
            <w:r>
              <w:rPr>
                <w:rFonts w:ascii="Consolas" w:hAnsi="Consolas"/>
                <w:b w:val="0"/>
                <w:color w:val="1B5E8C"/>
                <w:sz w:val="16"/>
              </w:rPr>
              <w:t>REVENUE_BY_PROFITCENTER</w:t>
            </w:r>
          </w:p>
        </w:tc>
      </w:tr>
      <w:tr>
        <w:trPr>
          <w:cantSplit/>
        </w:trPr>
        <w:tc>
          <w:tcPr>
            <w:tcW w:type="dxa" w:w="2880"/>
            <w:shd w:val="clear" w:fill="EEF4F8"/>
          </w:tcPr>
          <w:p>
            <w:pPr>
              <w:spacing w:after="20"/>
            </w:pPr>
            <w:r/>
            <w:r>
              <w:rPr>
                <w:b w:val="0"/>
                <w:sz w:val="17"/>
              </w:rPr>
              <w:t>Table count</w:t>
            </w:r>
          </w:p>
        </w:tc>
        <w:tc>
          <w:tcPr>
            <w:tcW w:type="dxa" w:w="3528"/>
            <w:shd w:val="clear" w:fill="EEF4F8"/>
          </w:tcPr>
          <w:p>
            <w:pPr>
              <w:spacing w:after="20"/>
            </w:pPr>
            <w:r/>
            <w:r>
              <w:rPr>
                <w:b w:val="0"/>
                <w:sz w:val="17"/>
              </w:rPr>
              <w:t>4</w:t>
            </w:r>
          </w:p>
        </w:tc>
        <w:tc>
          <w:tcPr>
            <w:tcW w:type="dxa" w:w="3528"/>
            <w:shd w:val="clear" w:fill="EEF4F8"/>
          </w:tcPr>
          <w:p>
            <w:pPr>
              <w:spacing w:after="20"/>
            </w:pPr>
            <w:r/>
            <w:r>
              <w:rPr>
                <w:b w:val="0"/>
                <w:sz w:val="17"/>
              </w:rPr>
              <w:t>5</w:t>
            </w:r>
          </w:p>
        </w:tc>
      </w:tr>
      <w:tr>
        <w:trPr>
          <w:cantSplit/>
        </w:trPr>
        <w:tc>
          <w:tcPr>
            <w:tcW w:type="dxa" w:w="2880"/>
          </w:tcPr>
          <w:p>
            <w:pPr>
              <w:spacing w:after="20"/>
            </w:pPr>
            <w:r/>
            <w:r>
              <w:rPr>
                <w:b w:val="0"/>
                <w:sz w:val="17"/>
              </w:rPr>
              <w:t>Relationships declared</w:t>
            </w:r>
          </w:p>
        </w:tc>
        <w:tc>
          <w:tcPr>
            <w:tcW w:type="dxa" w:w="3528"/>
          </w:tcPr>
          <w:p>
            <w:pPr>
              <w:spacing w:after="20"/>
            </w:pPr>
            <w:r/>
            <w:r>
              <w:rPr>
                <w:b w:val="0"/>
                <w:sz w:val="17"/>
              </w:rPr>
              <w:t>0</w:t>
            </w:r>
          </w:p>
        </w:tc>
        <w:tc>
          <w:tcPr>
            <w:tcW w:type="dxa" w:w="3528"/>
          </w:tcPr>
          <w:p>
            <w:pPr>
              <w:spacing w:after="20"/>
            </w:pPr>
            <w:r/>
            <w:r>
              <w:rPr>
                <w:b w:val="0"/>
                <w:sz w:val="17"/>
              </w:rPr>
              <w:t>12</w:t>
            </w:r>
          </w:p>
        </w:tc>
      </w:tr>
      <w:tr>
        <w:trPr>
          <w:cantSplit/>
        </w:trPr>
        <w:tc>
          <w:tcPr>
            <w:tcW w:type="dxa" w:w="2880"/>
            <w:shd w:val="clear" w:fill="EEF4F8"/>
          </w:tcPr>
          <w:p>
            <w:pPr>
              <w:spacing w:after="20"/>
            </w:pPr>
            <w:r/>
            <w:r>
              <w:rPr>
                <w:b w:val="0"/>
                <w:sz w:val="17"/>
              </w:rPr>
              <w:t>Metrics declared</w:t>
            </w:r>
          </w:p>
        </w:tc>
        <w:tc>
          <w:tcPr>
            <w:tcW w:type="dxa" w:w="3528"/>
            <w:shd w:val="clear" w:fill="EEF4F8"/>
          </w:tcPr>
          <w:p>
            <w:pPr>
              <w:spacing w:after="20"/>
            </w:pPr>
            <w:r/>
            <w:r>
              <w:rPr>
                <w:b w:val="0"/>
                <w:sz w:val="17"/>
              </w:rPr>
              <w:t>45</w:t>
            </w:r>
          </w:p>
        </w:tc>
        <w:tc>
          <w:tcPr>
            <w:tcW w:type="dxa" w:w="3528"/>
            <w:shd w:val="clear" w:fill="EEF4F8"/>
          </w:tcPr>
          <w:p>
            <w:pPr>
              <w:spacing w:after="20"/>
            </w:pPr>
            <w:r/>
            <w:r>
              <w:rPr>
                <w:b w:val="0"/>
                <w:sz w:val="17"/>
              </w:rPr>
              <w:t>0</w:t>
            </w:r>
          </w:p>
        </w:tc>
      </w:tr>
    </w:tbl>
    <w:p>
      <w:pPr>
        <w:spacing w:after="80"/>
      </w:pPr>
    </w:p>
    <w:p>
      <w:pPr>
        <w:spacing w:after="120"/>
      </w:pPr>
      <w:r>
        <w:rPr>
          <w:b w:val="0"/>
          <w:i w:val="0"/>
          <w:sz w:val="20"/>
        </w:rPr>
        <w:t xml:space="preserve">The two are close to complements. The </w:t>
      </w:r>
      <w:r>
        <w:rPr>
          <w:rFonts w:ascii="Consolas" w:hAnsi="Consolas"/>
          <w:b w:val="0"/>
          <w:i w:val="0"/>
          <w:color w:val="1B5E8C"/>
          <w:sz w:val="19"/>
        </w:rPr>
        <w:t>ANALYTICS</w:t>
      </w:r>
      <w:r>
        <w:rPr>
          <w:b w:val="0"/>
          <w:i w:val="0"/>
          <w:sz w:val="20"/>
        </w:rPr>
        <w:t xml:space="preserve"> view carries metrics and no relationships; the </w:t>
      </w:r>
      <w:r>
        <w:rPr>
          <w:rFonts w:ascii="Consolas" w:hAnsi="Consolas"/>
          <w:b w:val="0"/>
          <w:i w:val="0"/>
          <w:color w:val="1B5E8C"/>
          <w:sz w:val="19"/>
        </w:rPr>
        <w:t>SEMANTIC</w:t>
      </w:r>
      <w:r>
        <w:rPr>
          <w:b w:val="0"/>
          <w:i w:val="0"/>
          <w:sz w:val="20"/>
        </w:rPr>
        <w:t xml:space="preserve"> view carries relationships and no metrics. Neither is a superset of the other, and </w:t>
      </w:r>
      <w:r>
        <w:rPr>
          <w:rFonts w:ascii="Consolas" w:hAnsi="Consolas"/>
          <w:b w:val="0"/>
          <w:i w:val="0"/>
          <w:color w:val="1B5E8C"/>
          <w:sz w:val="19"/>
        </w:rPr>
        <w:t>DT_GL_BALANCE</w:t>
      </w:r>
      <w:r>
        <w:rPr>
          <w:b w:val="0"/>
          <w:i w:val="0"/>
          <w:sz w:val="20"/>
        </w:rPr>
        <w:t xml:space="preserve"> is in neither.</w:t>
      </w:r>
    </w:p>
    <w:p>
      <w:pPr>
        <w:spacing w:after="120"/>
      </w:pPr>
      <w:r>
        <w:rPr>
          <w:b w:val="0"/>
          <w:i w:val="0"/>
          <w:sz w:val="20"/>
        </w:rPr>
        <w:t xml:space="preserve">The dimension and fact tallies reported by </w:t>
      </w:r>
      <w:r>
        <w:rPr>
          <w:rFonts w:ascii="Consolas" w:hAnsi="Consolas"/>
          <w:b w:val="0"/>
          <w:i w:val="0"/>
          <w:color w:val="1B5E8C"/>
          <w:sz w:val="19"/>
        </w:rPr>
        <w:t>DESCRIBE SEMANTIC VIEW</w:t>
      </w:r>
      <w:r>
        <w:rPr>
          <w:b w:val="0"/>
          <w:i w:val="0"/>
          <w:sz w:val="20"/>
        </w:rPr>
        <w:t xml:space="preserve"> are large (120 and 251 dimensions respectively) because SAP source objects are wide and every retained column becomes a dimension. Treat those as row counts from </w:t>
      </w:r>
      <w:r>
        <w:rPr>
          <w:rFonts w:ascii="Consolas" w:hAnsi="Consolas"/>
          <w:b w:val="0"/>
          <w:i w:val="0"/>
          <w:color w:val="1B5E8C"/>
          <w:sz w:val="19"/>
        </w:rPr>
        <w:t>DESCRIBE</w:t>
      </w:r>
      <w:r>
        <w:rPr>
          <w:b w:val="0"/>
          <w:i w:val="0"/>
          <w:sz w:val="20"/>
        </w:rPr>
        <w:t xml:space="preserve"> rather than as a count of curated, documented dimensions.</w:t>
      </w:r>
    </w:p>
    <w:p>
      <w:pPr>
        <w:spacing w:before="80" w:after="160"/>
        <w:jc w:val="center"/>
      </w:pPr>
      <w:r>
        <w:rPr>
          <w:color w:val="C8D4DE"/>
          <w:sz w:val="12"/>
        </w:rPr>
        <w:t>──────────────────────────────────────────────────────────</w:t>
      </w:r>
    </w:p>
    <w:p>
      <w:pPr>
        <w:keepNext/>
        <w:spacing w:before="240" w:after="60"/>
        <w:outlineLvl w:val="1"/>
      </w:pPr>
      <w:r>
        <w:rPr>
          <w:b/>
          <w:color w:val="1B3A57"/>
          <w:sz w:val="23"/>
        </w:rPr>
        <w:t>The Cortex Analyst model is a third, separate artefact</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@SAP_FINANCE_360.SEMANTIC.SEMANTIC_MODELS/finance_360.semantic.yaml</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Model name</w:t>
            </w:r>
          </w:p>
        </w:tc>
        <w:tc>
          <w:tcPr>
            <w:tcW w:type="dxa" w:w="7056"/>
          </w:tcPr>
          <w:p>
            <w:pPr>
              <w:spacing w:after="20"/>
            </w:pPr>
            <w:r/>
            <w:r>
              <w:rPr>
                <w:rFonts w:ascii="Consolas" w:hAnsi="Consolas"/>
                <w:b w:val="0"/>
                <w:color w:val="1B5E8C"/>
                <w:sz w:val="16"/>
              </w:rPr>
              <w:t>sap_finance_360</w:t>
            </w:r>
          </w:p>
        </w:tc>
      </w:tr>
      <w:tr>
        <w:trPr>
          <w:cantSplit/>
        </w:trPr>
        <w:tc>
          <w:tcPr>
            <w:tcW w:type="dxa" w:w="2880"/>
            <w:shd w:val="clear" w:fill="EEF4F8"/>
          </w:tcPr>
          <w:p>
            <w:pPr>
              <w:spacing w:after="20"/>
            </w:pPr>
            <w:r/>
            <w:r>
              <w:rPr>
                <w:b w:val="0"/>
                <w:sz w:val="17"/>
              </w:rPr>
              <w:t>Base tables</w:t>
            </w:r>
          </w:p>
        </w:tc>
        <w:tc>
          <w:tcPr>
            <w:tcW w:type="dxa" w:w="7056"/>
            <w:shd w:val="clear" w:fill="EEF4F8"/>
          </w:tcPr>
          <w:p>
            <w:pPr>
              <w:spacing w:after="20"/>
            </w:pPr>
            <w:r/>
            <w:r>
              <w:rPr>
                <w:b w:val="0"/>
                <w:sz w:val="17"/>
              </w:rPr>
              <w:t>4</w:t>
            </w:r>
          </w:p>
        </w:tc>
      </w:tr>
      <w:tr>
        <w:trPr>
          <w:cantSplit/>
        </w:trPr>
        <w:tc>
          <w:tcPr>
            <w:tcW w:type="dxa" w:w="2880"/>
          </w:tcPr>
          <w:p>
            <w:pPr>
              <w:spacing w:after="20"/>
            </w:pPr>
            <w:r/>
            <w:r>
              <w:rPr>
                <w:b w:val="0"/>
                <w:sz w:val="17"/>
              </w:rPr>
              <w:t>Dimensions</w:t>
            </w:r>
          </w:p>
        </w:tc>
        <w:tc>
          <w:tcPr>
            <w:tcW w:type="dxa" w:w="7056"/>
          </w:tcPr>
          <w:p>
            <w:pPr>
              <w:spacing w:after="20"/>
            </w:pPr>
            <w:r/>
            <w:r>
              <w:rPr>
                <w:b w:val="0"/>
                <w:sz w:val="17"/>
              </w:rPr>
              <w:t>24</w:t>
            </w:r>
          </w:p>
        </w:tc>
      </w:tr>
      <w:tr>
        <w:trPr>
          <w:cantSplit/>
        </w:trPr>
        <w:tc>
          <w:tcPr>
            <w:tcW w:type="dxa" w:w="2880"/>
            <w:shd w:val="clear" w:fill="EEF4F8"/>
          </w:tcPr>
          <w:p>
            <w:pPr>
              <w:spacing w:after="20"/>
            </w:pPr>
            <w:r/>
            <w:r>
              <w:rPr>
                <w:b w:val="0"/>
                <w:sz w:val="17"/>
              </w:rPr>
              <w:t>Measures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Facts</w:t>
            </w:r>
          </w:p>
        </w:tc>
        <w:tc>
          <w:tcPr>
            <w:tcW w:type="dxa" w:w="7056"/>
          </w:tcPr>
          <w:p>
            <w:pPr>
              <w:spacing w:after="20"/>
            </w:pPr>
            <w:r/>
            <w:r>
              <w:rPr>
                <w:b w:val="0"/>
                <w:sz w:val="17"/>
              </w:rPr>
              <w:t>0</w:t>
            </w:r>
          </w:p>
        </w:tc>
      </w:tr>
      <w:tr>
        <w:trPr>
          <w:cantSplit/>
        </w:trPr>
        <w:tc>
          <w:tcPr>
            <w:tcW w:type="dxa" w:w="2880"/>
            <w:shd w:val="clear" w:fill="EEF4F8"/>
          </w:tcPr>
          <w:p>
            <w:pPr>
              <w:spacing w:after="20"/>
            </w:pPr>
            <w:r/>
            <w:r>
              <w:rPr>
                <w:b w:val="0"/>
                <w:sz w:val="17"/>
              </w:rPr>
              <w:t>Verified queries</w:t>
            </w:r>
          </w:p>
        </w:tc>
        <w:tc>
          <w:tcPr>
            <w:tcW w:type="dxa" w:w="7056"/>
            <w:shd w:val="clear" w:fill="EEF4F8"/>
          </w:tcPr>
          <w:p>
            <w:pPr>
              <w:spacing w:after="20"/>
            </w:pPr>
            <w:r/>
            <w:r>
              <w:rPr>
                <w:b/>
                <w:sz w:val="17"/>
              </w:rPr>
              <w:t>0</w:t>
            </w:r>
          </w:p>
        </w:tc>
      </w:tr>
    </w:tbl>
    <w:p>
      <w:pPr>
        <w:spacing w:after="80"/>
      </w:pPr>
    </w:p>
    <w:p>
      <w:pPr>
        <w:spacing w:after="120"/>
      </w:pPr>
      <w:r>
        <w:rPr>
          <w:b w:val="0"/>
          <w:i w:val="0"/>
          <w:sz w:val="20"/>
        </w:rPr>
        <w:t xml:space="preserve">Its base tables are </w:t>
      </w:r>
      <w:r>
        <w:rPr>
          <w:rFonts w:ascii="Consolas" w:hAnsi="Consolas"/>
          <w:b w:val="0"/>
          <w:i w:val="0"/>
          <w:color w:val="1B5E8C"/>
          <w:sz w:val="19"/>
        </w:rPr>
        <w:t>ANALYTICS.DT_JOURNAL_ENTRY_360</w:t>
      </w:r>
      <w:r>
        <w:rPr>
          <w:b w:val="0"/>
          <w:i w:val="0"/>
          <w:sz w:val="20"/>
        </w:rPr>
        <w:t xml:space="preserve">, </w:t>
      </w:r>
      <w:r>
        <w:rPr>
          <w:rFonts w:ascii="Consolas" w:hAnsi="Consolas"/>
          <w:b w:val="0"/>
          <w:i w:val="0"/>
          <w:color w:val="1B5E8C"/>
          <w:sz w:val="19"/>
        </w:rPr>
        <w:t>ANALYTICS.DT_EXPENSE_BY_COSTCENTER</w:t>
      </w:r>
      <w:r>
        <w:rPr>
          <w:b w:val="0"/>
          <w:i w:val="0"/>
          <w:sz w:val="20"/>
        </w:rPr>
        <w:t xml:space="preserve">, </w:t>
      </w:r>
      <w:r>
        <w:rPr>
          <w:rFonts w:ascii="Consolas" w:hAnsi="Consolas"/>
          <w:b w:val="0"/>
          <w:i w:val="0"/>
          <w:color w:val="1B5E8C"/>
          <w:sz w:val="19"/>
        </w:rPr>
        <w:t>ANALYTICS.DT_REVENUE_BY_PROFITCENTER</w:t>
      </w:r>
      <w:r>
        <w:rPr>
          <w:b w:val="0"/>
          <w:i w:val="0"/>
          <w:sz w:val="20"/>
        </w:rPr>
        <w:t xml:space="preserve"> and </w:t>
      </w:r>
      <w:r>
        <w:rPr>
          <w:rFonts w:ascii="Consolas" w:hAnsi="Consolas"/>
          <w:b w:val="0"/>
          <w:i w:val="0"/>
          <w:color w:val="1B5E8C"/>
          <w:sz w:val="19"/>
        </w:rPr>
        <w:t>ANALYTICS.DT_AR_AGING</w:t>
      </w:r>
      <w:r>
        <w:rPr>
          <w:b w:val="0"/>
          <w:i w:val="0"/>
          <w:sz w:val="20"/>
        </w:rPr>
        <w:t>.</w:t>
      </w:r>
    </w:p>
    <w:p>
      <w:pPr>
        <w:spacing w:after="120"/>
      </w:pPr>
      <w:r>
        <w:rPr>
          <w:b/>
          <w:i w:val="0"/>
          <w:sz w:val="20"/>
        </w:rPr>
        <w:t xml:space="preserve">The app's </w:t>
      </w:r>
      <w:r>
        <w:rPr>
          <w:rFonts w:ascii="Consolas" w:hAnsi="Consolas"/>
          <w:b/>
          <w:i w:val="0"/>
          <w:color w:val="1B5E8C"/>
          <w:sz w:val="19"/>
        </w:rPr>
        <w:t>/api/analyst</w:t>
      </w:r>
      <w:r>
        <w:rPr>
          <w:b/>
          <w:i w:val="0"/>
          <w:sz w:val="20"/>
        </w:rPr>
        <w:t xml:space="preserve"> route reads this stage file</w:t>
      </w:r>
      <w:r>
        <w:rPr>
          <w:b w:val="0"/>
          <w:i w:val="0"/>
          <w:sz w:val="20"/>
        </w:rPr>
        <w:t xml:space="preserve"> (it has had no in-app page since the nav change). It does not read </w:t>
      </w:r>
      <w:r>
        <w:rPr>
          <w:rFonts w:ascii="Consolas" w:hAnsi="Consolas"/>
          <w:b w:val="0"/>
          <w:i w:val="0"/>
          <w:color w:val="1B5E8C"/>
          <w:sz w:val="19"/>
        </w:rPr>
        <w:t>ANALYTICS.SAP_FINANCE_360</w:t>
      </w:r>
      <w:r>
        <w:rPr>
          <w:b w:val="0"/>
          <w:i w:val="0"/>
          <w:sz w:val="20"/>
        </w:rPr>
        <w:t xml:space="preserve"> and it does not read </w:t>
      </w:r>
      <w:r>
        <w:rPr>
          <w:rFonts w:ascii="Consolas" w:hAnsi="Consolas"/>
          <w:b w:val="0"/>
          <w:i w:val="0"/>
          <w:color w:val="1B5E8C"/>
          <w:sz w:val="19"/>
        </w:rPr>
        <w:t>SEMANTIC.SAP_FINANCE_360_ANALYTICS</w:t>
      </w:r>
      <w:r>
        <w:rPr>
          <w:b w:val="0"/>
          <w:i w:val="0"/>
          <w:sz w:val="20"/>
        </w:rPr>
        <w:t>. If an Analyst answer is wrong, the file to edit is the YAML on the stage; changing either semantic view will have no effect on the app.</w:t>
      </w:r>
    </w:p>
    <w:p>
      <w:pPr>
        <w:spacing w:after="120"/>
      </w:pPr>
      <w:r>
        <w:rPr>
          <w:b w:val="0"/>
          <w:i w:val="0"/>
          <w:sz w:val="20"/>
        </w:rPr>
        <w:t xml:space="preserve">Three L2 objects are outside the Analyst model entirely — </w:t>
      </w:r>
      <w:r>
        <w:rPr>
          <w:rFonts w:ascii="Consolas" w:hAnsi="Consolas"/>
          <w:b w:val="0"/>
          <w:i w:val="0"/>
          <w:color w:val="1B5E8C"/>
          <w:sz w:val="19"/>
        </w:rPr>
        <w:t>DT_AP_AGING</w:t>
      </w:r>
      <w:r>
        <w:rPr>
          <w:b w:val="0"/>
          <w:i w:val="0"/>
          <w:sz w:val="20"/>
        </w:rPr>
        <w:t xml:space="preserve">, </w:t>
      </w:r>
      <w:r>
        <w:rPr>
          <w:rFonts w:ascii="Consolas" w:hAnsi="Consolas"/>
          <w:b w:val="0"/>
          <w:i w:val="0"/>
          <w:color w:val="1B5E8C"/>
          <w:sz w:val="19"/>
        </w:rPr>
        <w:t>DT_GL_BALANCE</w:t>
      </w:r>
      <w:r>
        <w:rPr>
          <w:b w:val="0"/>
          <w:i w:val="0"/>
          <w:sz w:val="20"/>
        </w:rPr>
        <w:t xml:space="preserve"> and </w:t>
      </w:r>
      <w:r>
        <w:rPr>
          <w:rFonts w:ascii="Consolas" w:hAnsi="Consolas"/>
          <w:b w:val="0"/>
          <w:i w:val="0"/>
          <w:color w:val="1B5E8C"/>
          <w:sz w:val="19"/>
        </w:rPr>
        <w:t>DT_PNL_SUMMARY</w:t>
      </w:r>
      <w:r>
        <w:rPr>
          <w:b w:val="0"/>
          <w:i w:val="0"/>
          <w:sz w:val="20"/>
        </w:rPr>
        <w:t xml:space="preserve"> — so an Analyst question about accounts payable, GL balances or the P&amp;L summary has no table to land on. Detail in the semantic layer (08-semantic-layer.md).</w:t>
      </w:r>
    </w:p>
    <w:p>
      <w:pPr>
        <w:spacing w:before="80" w:after="160"/>
        <w:jc w:val="center"/>
      </w:pPr>
      <w:r>
        <w:rPr>
          <w:color w:val="C8D4DE"/>
          <w:sz w:val="12"/>
        </w:rPr>
        <w:t>──────────────────────────────────────────────────────────</w:t>
      </w:r>
    </w:p>
    <w:p>
      <w:pPr>
        <w:keepNext/>
        <w:spacing w:before="240" w:after="60"/>
        <w:outlineLvl w:val="1"/>
      </w:pPr>
      <w:r>
        <w:rPr>
          <w:b/>
          <w:color w:val="1B3A57"/>
          <w:sz w:val="23"/>
        </w:rPr>
        <w:t>Application</w:t>
      </w:r>
    </w:p>
    <w:p>
      <w:pPr>
        <w:spacing w:after="120"/>
      </w:pPr>
      <w:r>
        <w:rPr>
          <w:b w:val="0"/>
          <w:i w:val="0"/>
          <w:sz w:val="20"/>
        </w:rPr>
        <w:t>A React client and an Express server, packaged as a Snowflake Native App on Snowpark Container Services.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Component</w:t>
            </w:r>
          </w:p>
        </w:tc>
        <w:tc>
          <w:tcPr>
            <w:tcW w:type="dxa" w:w="7056"/>
            <w:shd w:val="clear" w:fill="1B3A57"/>
          </w:tcPr>
          <w:p>
            <w:pPr>
              <w:spacing w:after="20"/>
            </w:pPr>
            <w:r/>
            <w:r>
              <w:rPr>
                <w:b/>
                <w:color w:val="FFFFFF"/>
                <w:sz w:val="17"/>
              </w:rPr>
              <w:t>Detail</w:t>
            </w:r>
          </w:p>
        </w:tc>
      </w:tr>
      <w:tr>
        <w:trPr>
          <w:cantSplit/>
        </w:trPr>
        <w:tc>
          <w:tcPr>
            <w:tcW w:type="dxa" w:w="2880"/>
          </w:tcPr>
          <w:p>
            <w:pPr>
              <w:spacing w:after="20"/>
            </w:pPr>
            <w:r/>
            <w:r>
              <w:rPr>
                <w:b w:val="0"/>
                <w:sz w:val="17"/>
              </w:rPr>
              <w:t>Client</w:t>
            </w:r>
          </w:p>
        </w:tc>
        <w:tc>
          <w:tcPr>
            <w:tcW w:type="dxa" w:w="7056"/>
          </w:tcPr>
          <w:p>
            <w:pPr>
              <w:spacing w:after="20"/>
            </w:pPr>
            <w:r/>
            <w:r>
              <w:rPr>
                <w:b w:val="0"/>
                <w:sz w:val="17"/>
              </w:rPr>
              <w:t>React + Vite</w:t>
            </w:r>
          </w:p>
        </w:tc>
      </w:tr>
      <w:tr>
        <w:trPr>
          <w:cantSplit/>
        </w:trPr>
        <w:tc>
          <w:tcPr>
            <w:tcW w:type="dxa" w:w="2880"/>
            <w:shd w:val="clear" w:fill="EEF4F8"/>
          </w:tcPr>
          <w:p>
            <w:pPr>
              <w:spacing w:after="20"/>
            </w:pPr>
            <w:r/>
            <w:r>
              <w:rPr>
                <w:b w:val="0"/>
                <w:sz w:val="17"/>
              </w:rPr>
              <w:t>Server</w:t>
            </w:r>
          </w:p>
        </w:tc>
        <w:tc>
          <w:tcPr>
            <w:tcW w:type="dxa" w:w="7056"/>
            <w:shd w:val="clear" w:fill="EEF4F8"/>
          </w:tcPr>
          <w:p>
            <w:pPr>
              <w:spacing w:after="20"/>
            </w:pPr>
            <w:r/>
            <w:r>
              <w:rPr>
                <w:b w:val="0"/>
                <w:sz w:val="17"/>
              </w:rPr>
              <w:t xml:space="preserve">Express + TypeScript, </w:t>
            </w:r>
            <w:r>
              <w:rPr>
                <w:rFonts w:ascii="Consolas" w:hAnsi="Consolas"/>
                <w:b w:val="0"/>
                <w:color w:val="1B5E8C"/>
                <w:sz w:val="16"/>
              </w:rPr>
              <w:t>api.ts</w:t>
            </w:r>
            <w:r>
              <w:rPr>
                <w:b w:val="0"/>
                <w:sz w:val="17"/>
              </w:rPr>
              <w:t xml:space="preserve"> holding all SQL</w:t>
            </w:r>
          </w:p>
        </w:tc>
      </w:tr>
      <w:tr>
        <w:trPr>
          <w:cantSplit/>
        </w:trPr>
        <w:tc>
          <w:tcPr>
            <w:tcW w:type="dxa" w:w="2880"/>
          </w:tcPr>
          <w:p>
            <w:pPr>
              <w:spacing w:after="20"/>
            </w:pPr>
            <w:r/>
            <w:r>
              <w:rPr>
                <w:b w:val="0"/>
                <w:sz w:val="17"/>
              </w:rPr>
              <w:t>Packaging</w:t>
            </w:r>
          </w:p>
        </w:tc>
        <w:tc>
          <w:tcPr>
            <w:tcW w:type="dxa" w:w="7056"/>
          </w:tcPr>
          <w:p>
            <w:pPr>
              <w:spacing w:after="20"/>
            </w:pPr>
            <w:r/>
            <w:r>
              <w:rPr>
                <w:b w:val="0"/>
                <w:sz w:val="17"/>
              </w:rPr>
              <w:t xml:space="preserve">Native App — </w:t>
            </w:r>
            <w:r>
              <w:rPr>
                <w:rFonts w:ascii="Consolas" w:hAnsi="Consolas"/>
                <w:b w:val="0"/>
                <w:color w:val="1B5E8C"/>
                <w:sz w:val="16"/>
              </w:rPr>
              <w:t>manifest.yml</w:t>
            </w:r>
            <w:r>
              <w:rPr>
                <w:b w:val="0"/>
                <w:sz w:val="17"/>
              </w:rPr>
              <w:t xml:space="preserve">, </w:t>
            </w:r>
            <w:r>
              <w:rPr>
                <w:rFonts w:ascii="Consolas" w:hAnsi="Consolas"/>
                <w:b w:val="0"/>
                <w:color w:val="1B5E8C"/>
                <w:sz w:val="16"/>
              </w:rPr>
              <w:t>setup.sql</w:t>
            </w:r>
            <w:r>
              <w:rPr>
                <w:b w:val="0"/>
                <w:sz w:val="17"/>
              </w:rPr>
              <w:t xml:space="preserve">, </w:t>
            </w:r>
            <w:r>
              <w:rPr>
                <w:rFonts w:ascii="Consolas" w:hAnsi="Consolas"/>
                <w:b w:val="0"/>
                <w:color w:val="1B5E8C"/>
                <w:sz w:val="16"/>
              </w:rPr>
              <w:t>service_spec.yml</w:t>
            </w:r>
          </w:p>
        </w:tc>
      </w:tr>
      <w:tr>
        <w:trPr>
          <w:cantSplit/>
        </w:trPr>
        <w:tc>
          <w:tcPr>
            <w:tcW w:type="dxa" w:w="2880"/>
            <w:shd w:val="clear" w:fill="EEF4F8"/>
          </w:tcPr>
          <w:p>
            <w:pPr>
              <w:spacing w:after="20"/>
            </w:pPr>
            <w:r/>
            <w:r>
              <w:rPr>
                <w:b w:val="0"/>
                <w:sz w:val="17"/>
              </w:rPr>
              <w:t>Pages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Deployed URL</w:t>
            </w:r>
          </w:p>
        </w:tc>
        <w:tc>
          <w:tcPr>
            <w:tcW w:type="dxa" w:w="7056"/>
          </w:tcPr>
          <w:p>
            <w:pPr>
              <w:spacing w:after="20"/>
            </w:pPr>
            <w:r/>
            <w:r>
              <w:rPr>
                <w:rFonts w:ascii="Consolas" w:hAnsi="Consolas"/>
                <w:b w:val="0"/>
                <w:color w:val="1B5E8C"/>
                <w:sz w:val="16"/>
              </w:rPr>
              <w:t>erzht4-sfsenorthamerica-dfreriks-aws1-w2.snowflakecomputing.app</w:t>
            </w:r>
          </w:p>
        </w:tc>
      </w:tr>
    </w:tbl>
    <w:p>
      <w:pPr>
        <w:spacing w:after="80"/>
      </w:pPr>
    </w:p>
    <w:p>
      <w:pPr>
        <w:spacing w:after="120"/>
      </w:pPr>
      <w:r>
        <w:rPr>
          <w:b w:val="0"/>
          <w:i w:val="0"/>
          <w:sz w:val="20"/>
        </w:rPr>
        <w:t>The nine pages: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w:t>
            </w:r>
          </w:p>
        </w:tc>
        <w:tc>
          <w:tcPr>
            <w:tcW w:type="dxa" w:w="7056"/>
            <w:shd w:val="clear" w:fill="1B3A57"/>
          </w:tcPr>
          <w:p>
            <w:pPr>
              <w:spacing w:after="20"/>
            </w:pPr>
            <w:r/>
            <w:r>
              <w:rPr>
                <w:b/>
                <w:color w:val="FFFFFF"/>
                <w:sz w:val="17"/>
              </w:rPr>
              <w:t>Page</w:t>
            </w:r>
          </w:p>
        </w:tc>
      </w:tr>
      <w:tr>
        <w:trPr>
          <w:cantSplit/>
        </w:trPr>
        <w:tc>
          <w:tcPr>
            <w:tcW w:type="dxa" w:w="2880"/>
          </w:tcPr>
          <w:p>
            <w:pPr>
              <w:spacing w:after="20"/>
            </w:pPr>
            <w:r/>
            <w:r>
              <w:rPr>
                <w:b w:val="0"/>
                <w:sz w:val="17"/>
              </w:rPr>
              <w:t>1</w:t>
            </w:r>
          </w:p>
        </w:tc>
        <w:tc>
          <w:tcPr>
            <w:tcW w:type="dxa" w:w="7056"/>
          </w:tcPr>
          <w:p>
            <w:pPr>
              <w:spacing w:after="20"/>
            </w:pPr>
            <w:r/>
            <w:r>
              <w:rPr>
                <w:b w:val="0"/>
                <w:sz w:val="17"/>
              </w:rPr>
              <w:t>Ask Cortex</w:t>
            </w:r>
          </w:p>
        </w:tc>
      </w:tr>
      <w:tr>
        <w:trPr>
          <w:cantSplit/>
        </w:trPr>
        <w:tc>
          <w:tcPr>
            <w:tcW w:type="dxa" w:w="2880"/>
            <w:shd w:val="clear" w:fill="EEF4F8"/>
          </w:tcPr>
          <w:p>
            <w:pPr>
              <w:spacing w:after="20"/>
            </w:pPr>
            <w:r/>
            <w:r>
              <w:rPr>
                <w:b w:val="0"/>
                <w:sz w:val="17"/>
              </w:rPr>
              <w:t>2</w:t>
            </w:r>
          </w:p>
        </w:tc>
        <w:tc>
          <w:tcPr>
            <w:tcW w:type="dxa" w:w="7056"/>
            <w:shd w:val="clear" w:fill="EEF4F8"/>
          </w:tcPr>
          <w:p>
            <w:pPr>
              <w:spacing w:after="20"/>
            </w:pPr>
            <w:r/>
            <w:r>
              <w:rPr>
                <w:b w:val="0"/>
                <w:sz w:val="17"/>
              </w:rPr>
              <w:t>Executive Dashboard (the app opens here)</w:t>
            </w:r>
          </w:p>
        </w:tc>
      </w:tr>
      <w:tr>
        <w:trPr>
          <w:cantSplit/>
        </w:trPr>
        <w:tc>
          <w:tcPr>
            <w:tcW w:type="dxa" w:w="2880"/>
          </w:tcPr>
          <w:p>
            <w:pPr>
              <w:spacing w:after="20"/>
            </w:pPr>
            <w:r/>
            <w:r>
              <w:rPr>
                <w:b w:val="0"/>
                <w:sz w:val="17"/>
              </w:rPr>
              <w:t>3</w:t>
            </w:r>
          </w:p>
        </w:tc>
        <w:tc>
          <w:tcPr>
            <w:tcW w:type="dxa" w:w="7056"/>
          </w:tcPr>
          <w:p>
            <w:pPr>
              <w:spacing w:after="20"/>
            </w:pPr>
            <w:r/>
            <w:r>
              <w:rPr>
                <w:b w:val="0"/>
                <w:sz w:val="17"/>
              </w:rPr>
              <w:t>General Ledger</w:t>
            </w:r>
          </w:p>
        </w:tc>
      </w:tr>
      <w:tr>
        <w:trPr>
          <w:cantSplit/>
        </w:trPr>
        <w:tc>
          <w:tcPr>
            <w:tcW w:type="dxa" w:w="2880"/>
            <w:shd w:val="clear" w:fill="EEF4F8"/>
          </w:tcPr>
          <w:p>
            <w:pPr>
              <w:spacing w:after="20"/>
            </w:pPr>
            <w:r/>
            <w:r>
              <w:rPr>
                <w:b w:val="0"/>
                <w:sz w:val="17"/>
              </w:rPr>
              <w:t>4</w:t>
            </w:r>
          </w:p>
        </w:tc>
        <w:tc>
          <w:tcPr>
            <w:tcW w:type="dxa" w:w="7056"/>
            <w:shd w:val="clear" w:fill="EEF4F8"/>
          </w:tcPr>
          <w:p>
            <w:pPr>
              <w:spacing w:after="20"/>
            </w:pPr>
            <w:r/>
            <w:r>
              <w:rPr>
                <w:b w:val="0"/>
                <w:sz w:val="17"/>
              </w:rPr>
              <w:t>Cost Centers</w:t>
            </w:r>
          </w:p>
        </w:tc>
      </w:tr>
      <w:tr>
        <w:trPr>
          <w:cantSplit/>
        </w:trPr>
        <w:tc>
          <w:tcPr>
            <w:tcW w:type="dxa" w:w="2880"/>
          </w:tcPr>
          <w:p>
            <w:pPr>
              <w:spacing w:after="20"/>
            </w:pPr>
            <w:r/>
            <w:r>
              <w:rPr>
                <w:b w:val="0"/>
                <w:sz w:val="17"/>
              </w:rPr>
              <w:t>5</w:t>
            </w:r>
          </w:p>
        </w:tc>
        <w:tc>
          <w:tcPr>
            <w:tcW w:type="dxa" w:w="7056"/>
          </w:tcPr>
          <w:p>
            <w:pPr>
              <w:spacing w:after="20"/>
            </w:pPr>
            <w:r/>
            <w:r>
              <w:rPr>
                <w:b w:val="0"/>
                <w:sz w:val="17"/>
              </w:rPr>
              <w:t>Profit Centers</w:t>
            </w:r>
          </w:p>
        </w:tc>
      </w:tr>
      <w:tr>
        <w:trPr>
          <w:cantSplit/>
        </w:trPr>
        <w:tc>
          <w:tcPr>
            <w:tcW w:type="dxa" w:w="2880"/>
            <w:shd w:val="clear" w:fill="EEF4F8"/>
          </w:tcPr>
          <w:p>
            <w:pPr>
              <w:spacing w:after="20"/>
            </w:pPr>
            <w:r/>
            <w:r>
              <w:rPr>
                <w:b w:val="0"/>
                <w:sz w:val="17"/>
              </w:rPr>
              <w:t>6</w:t>
            </w:r>
          </w:p>
        </w:tc>
        <w:tc>
          <w:tcPr>
            <w:tcW w:type="dxa" w:w="7056"/>
            <w:shd w:val="clear" w:fill="EEF4F8"/>
          </w:tcPr>
          <w:p>
            <w:pPr>
              <w:spacing w:after="20"/>
            </w:pPr>
            <w:r/>
            <w:r>
              <w:rPr>
                <w:b w:val="0"/>
                <w:sz w:val="17"/>
              </w:rPr>
              <w:t>Accounts Payable</w:t>
            </w:r>
          </w:p>
        </w:tc>
      </w:tr>
      <w:tr>
        <w:trPr>
          <w:cantSplit/>
        </w:trPr>
        <w:tc>
          <w:tcPr>
            <w:tcW w:type="dxa" w:w="2880"/>
          </w:tcPr>
          <w:p>
            <w:pPr>
              <w:spacing w:after="20"/>
            </w:pPr>
            <w:r/>
            <w:r>
              <w:rPr>
                <w:b w:val="0"/>
                <w:sz w:val="17"/>
              </w:rPr>
              <w:t>7</w:t>
            </w:r>
          </w:p>
        </w:tc>
        <w:tc>
          <w:tcPr>
            <w:tcW w:type="dxa" w:w="7056"/>
          </w:tcPr>
          <w:p>
            <w:pPr>
              <w:spacing w:after="20"/>
            </w:pPr>
            <w:r/>
            <w:r>
              <w:rPr>
                <w:b w:val="0"/>
                <w:sz w:val="17"/>
              </w:rPr>
              <w:t>Accounts Receivable</w:t>
            </w:r>
          </w:p>
        </w:tc>
      </w:tr>
      <w:tr>
        <w:trPr>
          <w:cantSplit/>
        </w:trPr>
        <w:tc>
          <w:tcPr>
            <w:tcW w:type="dxa" w:w="2880"/>
            <w:shd w:val="clear" w:fill="EEF4F8"/>
          </w:tcPr>
          <w:p>
            <w:pPr>
              <w:spacing w:after="20"/>
            </w:pPr>
            <w:r/>
            <w:r>
              <w:rPr>
                <w:b w:val="0"/>
                <w:sz w:val="17"/>
              </w:rPr>
              <w:t>8</w:t>
            </w:r>
          </w:p>
        </w:tc>
        <w:tc>
          <w:tcPr>
            <w:tcW w:type="dxa" w:w="7056"/>
            <w:shd w:val="clear" w:fill="EEF4F8"/>
          </w:tcPr>
          <w:p>
            <w:pPr>
              <w:spacing w:after="20"/>
            </w:pPr>
            <w:r/>
            <w:r>
              <w:rPr>
                <w:b w:val="0"/>
                <w:sz w:val="17"/>
              </w:rPr>
              <w:t>Period Analysis</w:t>
            </w:r>
          </w:p>
        </w:tc>
      </w:tr>
      <w:tr>
        <w:trPr>
          <w:cantSplit/>
        </w:trPr>
        <w:tc>
          <w:tcPr>
            <w:tcW w:type="dxa" w:w="2880"/>
          </w:tcPr>
          <w:p>
            <w:pPr>
              <w:spacing w:after="20"/>
            </w:pPr>
            <w:r/>
            <w:r>
              <w:rPr>
                <w:b w:val="0"/>
                <w:sz w:val="17"/>
              </w:rPr>
              <w:t>9</w:t>
            </w:r>
          </w:p>
        </w:tc>
        <w:tc>
          <w:tcPr>
            <w:tcW w:type="dxa" w:w="7056"/>
          </w:tcPr>
          <w:p>
            <w:pPr>
              <w:spacing w:after="20"/>
            </w:pPr>
            <w:r/>
            <w:r>
              <w:rPr>
                <w:b w:val="0"/>
                <w:sz w:val="17"/>
              </w:rPr>
              <w:t>BDC Sources &amp; Lineage</w:t>
            </w:r>
          </w:p>
        </w:tc>
      </w:tr>
    </w:tbl>
    <w:p>
      <w:pPr>
        <w:spacing w:after="80"/>
      </w:pPr>
    </w:p>
    <w:p>
      <w:pPr>
        <w:spacing w:after="120"/>
      </w:pPr>
      <w:r>
        <w:rPr>
          <w:b w:val="0"/>
          <w:i w:val="0"/>
          <w:sz w:val="20"/>
        </w:rPr>
        <w:t>Page 1 is the natural-language surface (</w:t>
      </w:r>
      <w:r>
        <w:rPr>
          <w:rFonts w:ascii="Consolas" w:hAnsi="Consolas"/>
          <w:b w:val="0"/>
          <w:i w:val="0"/>
          <w:color w:val="1B5E8C"/>
          <w:sz w:val="19"/>
        </w:rPr>
        <w:t>AI_COMPLETE</w:t>
      </w:r>
      <w:r>
        <w:rPr>
          <w:b w:val="0"/>
          <w:i w:val="0"/>
          <w:sz w:val="20"/>
        </w:rPr>
        <w:t xml:space="preserve"> over per-page SQL facts). Pages 2–8 are conventional dashboards. Page 9 exists to make the zero-copy claim visible — it shows the shares themselves. The former Cortex Analyst page was removed; the </w:t>
      </w:r>
      <w:r>
        <w:rPr>
          <w:rFonts w:ascii="Consolas" w:hAnsi="Consolas"/>
          <w:b w:val="0"/>
          <w:i w:val="0"/>
          <w:color w:val="1B5E8C"/>
          <w:sz w:val="19"/>
        </w:rPr>
        <w:t>SAP_FINANCE_360_AGENT</w:t>
      </w:r>
      <w:r>
        <w:rPr>
          <w:b w:val="0"/>
          <w:i w:val="0"/>
          <w:sz w:val="20"/>
        </w:rPr>
        <w:t xml:space="preserve"> is used from Snowflake Intelligence.</w:t>
      </w:r>
    </w:p>
    <w:p>
      <w:pPr>
        <w:spacing w:after="120"/>
      </w:pPr>
      <w:r>
        <w:rPr>
          <w:b w:val="0"/>
          <w:i w:val="0"/>
          <w:sz w:val="20"/>
        </w:rPr>
        <w:t xml:space="preserve">All SQL lives in the server. The client holds no query text, which is what makes the </w:t>
      </w:r>
      <w:r>
        <w:rPr>
          <w:rFonts w:ascii="Consolas" w:hAnsi="Consolas"/>
          <w:b w:val="0"/>
          <w:i w:val="0"/>
          <w:color w:val="1B5E8C"/>
          <w:sz w:val="19"/>
        </w:rPr>
        <w:t>FROM</w:t>
      </w:r>
      <w:r>
        <w:rPr>
          <w:b w:val="0"/>
          <w:i w:val="0"/>
          <w:sz w:val="20"/>
        </w:rPr>
        <w:t>-clause census in the table above a complete inventory of what the application reads.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