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Finance 360</w:t>
      </w:r>
    </w:p>
    <w:p>
      <w:pPr>
        <w:spacing w:after="40"/>
      </w:pPr>
      <w:r>
        <w:rPr>
          <w:b/>
          <w:color w:val="1B3A57"/>
          <w:sz w:val="44"/>
        </w:rPr>
        <w:t>Build steps</w:t>
      </w:r>
    </w:p>
    <w:p>
      <w:pPr>
        <w:spacing w:after="280"/>
      </w:pPr>
      <w:r>
        <w:rPr>
          <w:color w:val="5A6A7A"/>
          <w:sz w:val="19"/>
        </w:rPr>
        <w:t>Generated from docs/03-build-steps.md  ·  part 03</w:t>
      </w:r>
    </w:p>
    <w:p>
      <w:pPr>
        <w:spacing w:after="120"/>
      </w:pPr>
      <w:r>
        <w:rPr>
          <w:b w:val="0"/>
          <w:i w:val="0"/>
          <w:sz w:val="20"/>
        </w:rPr>
        <w:t>The order in which this was built, and what each step has to produce before the next one can start. Scripts and file paths are in execution (04-execution.md); this document is the sequence and the reasoning.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0 — Confirm the L0 shares are readable</w:t>
      </w:r>
    </w:p>
    <w:p>
      <w:pPr>
        <w:spacing w:after="120"/>
      </w:pPr>
      <w:r>
        <w:rPr>
          <w:b w:val="0"/>
          <w:i w:val="0"/>
          <w:sz w:val="20"/>
        </w:rPr>
        <w:t>Nothing downstream can be built until the SAP BDC Standard Data Products are mounted and the running role can select from them.</w:t>
      </w:r>
    </w:p>
    <w:p>
      <w:pPr>
        <w:spacing w:after="120"/>
      </w:pPr>
      <w:r>
        <w:rPr>
          <w:b w:val="0"/>
          <w:i w:val="0"/>
          <w:sz w:val="20"/>
        </w:rPr>
        <w:t>The three shared databases the stack actually reads are: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Shared database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 used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SAP_BDC_DEMO_ENTRY_VIEW_JOURNAL_ENTRY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BDCCONNECT.OPERATIONALACCTGDOCITEM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SAP_BDC_DEMO_JOURNAL_ENTRY_HEADER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BDCCONNECT.JOURNALENTRY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SAP_BDC_DEMO_SUPPLIER_INVOICE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BDCCONNECT.SUPPLIERINVOICE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sql/01_l0_sources.md</w:t>
      </w:r>
      <w:r>
        <w:rPr>
          <w:b w:val="0"/>
          <w:i w:val="0"/>
          <w:sz w:val="20"/>
        </w:rPr>
        <w:t xml:space="preserve"> documents the L0 layer. It is markdown, not SQL, because there is nothing to create — the objects belong to the provider. That file is the only "DDL" step in the stack that runs no DDL, and that is the point being made.</w:t>
      </w:r>
    </w:p>
    <w:p>
      <w:pPr>
        <w:spacing w:after="120"/>
      </w:pPr>
      <w:r>
        <w:rPr>
          <w:b w:val="0"/>
          <w:i w:val="0"/>
          <w:sz w:val="20"/>
        </w:rPr>
        <w:t xml:space="preserve">Do the sign check here, before building anything on top. Run a </w:t>
      </w:r>
      <w:r>
        <w:rPr>
          <w:rFonts w:ascii="Consolas" w:hAnsi="Consolas"/>
          <w:b w:val="0"/>
          <w:i w:val="0"/>
          <w:color w:val="1B5E8C"/>
          <w:sz w:val="19"/>
        </w:rPr>
        <w:t>SUM</w:t>
      </w:r>
      <w:r>
        <w:rPr>
          <w:b w:val="0"/>
          <w:i w:val="0"/>
          <w:sz w:val="20"/>
        </w:rPr>
        <w:t xml:space="preserve"> over the amount column on </w:t>
      </w:r>
      <w:r>
        <w:rPr>
          <w:rFonts w:ascii="Consolas" w:hAnsi="Consolas"/>
          <w:b w:val="0"/>
          <w:i w:val="0"/>
          <w:color w:val="1B5E8C"/>
          <w:sz w:val="19"/>
        </w:rPr>
        <w:t>OPERATIONALACCTGDOCITEM</w:t>
      </w:r>
      <w:r>
        <w:rPr>
          <w:b w:val="0"/>
          <w:i w:val="0"/>
          <w:sz w:val="20"/>
        </w:rPr>
        <w:t xml:space="preserve"> with no </w:t>
      </w:r>
      <w:r>
        <w:rPr>
          <w:rFonts w:ascii="Consolas" w:hAnsi="Consolas"/>
          <w:b w:val="0"/>
          <w:i w:val="0"/>
          <w:color w:val="1B5E8C"/>
          <w:sz w:val="19"/>
        </w:rPr>
        <w:t>ABS</w:t>
      </w:r>
      <w:r>
        <w:rPr>
          <w:b w:val="0"/>
          <w:i w:val="0"/>
          <w:sz w:val="20"/>
        </w:rPr>
        <w:t xml:space="preserve"> and no </w:t>
      </w:r>
      <w:r>
        <w:rPr>
          <w:rFonts w:ascii="Consolas" w:hAnsi="Consolas"/>
          <w:b w:val="0"/>
          <w:i w:val="0"/>
          <w:color w:val="1B5E8C"/>
          <w:sz w:val="19"/>
        </w:rPr>
        <w:t>DEBITCREDITCODE</w:t>
      </w:r>
      <w:r>
        <w:rPr>
          <w:b w:val="0"/>
          <w:i w:val="0"/>
          <w:sz w:val="20"/>
        </w:rPr>
        <w:t xml:space="preserve"> filter, then run it with both. If the two agree, the filter is not doing what you think it is.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1 — L1 curated views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sql/02_l1_curated_views.sql</w:t>
      </w:r>
      <w:r>
        <w:rPr>
          <w:b w:val="0"/>
          <w:i w:val="0"/>
          <w:sz w:val="20"/>
        </w:rPr>
        <w:t xml:space="preserve">, run as </w:t>
      </w:r>
      <w:r>
        <w:rPr>
          <w:rFonts w:ascii="Consolas" w:hAnsi="Consolas"/>
          <w:b w:val="0"/>
          <w:i w:val="0"/>
          <w:color w:val="1B5E8C"/>
          <w:sz w:val="19"/>
        </w:rPr>
        <w:t>ACCOUNTADMIN</w:t>
      </w:r>
      <w:r>
        <w:rPr>
          <w:b w:val="0"/>
          <w:i w:val="0"/>
          <w:sz w:val="20"/>
        </w:rPr>
        <w:t xml:space="preserve"> or a role holding the L0 grants.</w:t>
      </w:r>
    </w:p>
    <w:p>
      <w:pPr>
        <w:spacing w:after="120"/>
      </w:pPr>
      <w:r>
        <w:rPr>
          <w:b w:val="0"/>
          <w:i w:val="0"/>
          <w:sz w:val="20"/>
        </w:rPr>
        <w:t xml:space="preserve">Creates </w:t>
      </w:r>
      <w:r>
        <w:rPr>
          <w:rFonts w:ascii="Consolas" w:hAnsi="Consolas"/>
          <w:b w:val="0"/>
          <w:i w:val="0"/>
          <w:color w:val="1B5E8C"/>
          <w:sz w:val="19"/>
        </w:rPr>
        <w:t>SAP_FINANCE_360.SAP_BDC_L1</w:t>
      </w:r>
      <w:r>
        <w:rPr>
          <w:b w:val="0"/>
          <w:i w:val="0"/>
          <w:sz w:val="20"/>
        </w:rPr>
        <w:t xml:space="preserve"> and six views in it. Each view is a projection over one L0 object with a </w:t>
      </w:r>
      <w:r>
        <w:rPr>
          <w:rFonts w:ascii="Consolas" w:hAnsi="Consolas"/>
          <w:b w:val="0"/>
          <w:i w:val="0"/>
          <w:color w:val="1B5E8C"/>
          <w:sz w:val="19"/>
        </w:rPr>
        <w:t>COMMENT</w:t>
      </w:r>
      <w:r>
        <w:rPr>
          <w:b w:val="0"/>
          <w:i w:val="0"/>
          <w:sz w:val="20"/>
        </w:rPr>
        <w:t xml:space="preserve"> on every column.</w:t>
      </w:r>
    </w:p>
    <w:p>
      <w:pPr>
        <w:spacing w:after="120"/>
      </w:pPr>
      <w:r>
        <w:rPr>
          <w:b w:val="0"/>
          <w:i w:val="0"/>
          <w:sz w:val="20"/>
        </w:rPr>
        <w:t>Deliberate constraints on this step:</w:t>
      </w:r>
    </w:p>
    <w:p>
      <w:pPr>
        <w:pStyle w:val="ListBullet"/>
        <w:spacing w:after="40"/>
      </w:pPr>
      <w:r>
        <w:rPr>
          <w:b/>
          <w:sz w:val="20"/>
        </w:rPr>
        <w:t>Views, not tables.</w:t>
      </w:r>
      <w:r>
        <w:rPr>
          <w:b w:val="0"/>
          <w:sz w:val="20"/>
        </w:rPr>
        <w:t xml:space="preserve"> No </w:t>
      </w:r>
      <w:r>
        <w:rPr>
          <w:rFonts w:ascii="Consolas" w:hAnsi="Consolas"/>
          <w:b w:val="0"/>
          <w:color w:val="1B5E8C"/>
          <w:sz w:val="19"/>
        </w:rPr>
        <w:t>CREATE TABLE AS</w:t>
      </w:r>
      <w:r>
        <w:rPr>
          <w:b w:val="0"/>
          <w:sz w:val="20"/>
        </w:rPr>
        <w:t xml:space="preserve">, no </w:t>
      </w:r>
      <w:r>
        <w:rPr>
          <w:rFonts w:ascii="Consolas" w:hAnsi="Consolas"/>
          <w:b w:val="0"/>
          <w:color w:val="1B5E8C"/>
          <w:sz w:val="19"/>
        </w:rPr>
        <w:t>CREATE MATERIALIZED VIEW</w:t>
      </w:r>
      <w:r>
        <w:rPr>
          <w:b w:val="0"/>
          <w:sz w:val="20"/>
        </w:rPr>
        <w:t>. The layer must add no storage and no refresh obligation.</w:t>
      </w:r>
    </w:p>
    <w:p>
      <w:pPr>
        <w:pStyle w:val="ListBullet"/>
        <w:spacing w:after="40"/>
      </w:pPr>
      <w:r>
        <w:rPr>
          <w:b/>
          <w:sz w:val="20"/>
        </w:rPr>
        <w:t>No filtering.</w:t>
      </w:r>
      <w:r>
        <w:rPr>
          <w:b w:val="0"/>
          <w:sz w:val="20"/>
        </w:rPr>
        <w:t xml:space="preserve"> L1 is 1:1. A row excluded here is invisible to every consumer, and the exclusion would be buried in a view definition nobody reads.</w:t>
      </w:r>
    </w:p>
    <w:p>
      <w:pPr>
        <w:pStyle w:val="ListBullet"/>
        <w:spacing w:after="40"/>
      </w:pPr>
      <w:r>
        <w:rPr>
          <w:b/>
          <w:sz w:val="20"/>
        </w:rPr>
        <w:t>No renaming beyond case.</w:t>
      </w:r>
      <w:r>
        <w:rPr>
          <w:b w:val="0"/>
          <w:sz w:val="20"/>
        </w:rPr>
        <w:t xml:space="preserve"> Column names stay as SAP publishes them so that SAP documentation still applies.</w:t>
      </w:r>
    </w:p>
    <w:p>
      <w:pPr>
        <w:spacing w:after="120"/>
      </w:pPr>
      <w:r>
        <w:rPr>
          <w:b w:val="0"/>
          <w:i w:val="0"/>
          <w:sz w:val="20"/>
        </w:rPr>
        <w:t xml:space="preserve">Verification: six objects in the schema, all of </w:t>
      </w:r>
      <w:r>
        <w:rPr>
          <w:rFonts w:ascii="Consolas" w:hAnsi="Consolas"/>
          <w:b w:val="0"/>
          <w:i w:val="0"/>
          <w:color w:val="1B5E8C"/>
          <w:sz w:val="19"/>
        </w:rPr>
        <w:t>TABLE_TYPE = 'VIEW'</w:t>
      </w:r>
      <w:r>
        <w:rPr>
          <w:b w:val="0"/>
          <w:i w:val="0"/>
          <w:sz w:val="20"/>
        </w:rPr>
        <w:t>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2 — L2 analytics objects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sql/03_l2_analytics_dynamic_tables.sql</w:t>
      </w:r>
      <w:r>
        <w:rPr>
          <w:b w:val="0"/>
          <w:i w:val="0"/>
          <w:sz w:val="20"/>
        </w:rPr>
        <w:t xml:space="preserve">. Requires a warehouse named </w:t>
      </w:r>
      <w:r>
        <w:rPr>
          <w:rFonts w:ascii="Consolas" w:hAnsi="Consolas"/>
          <w:b w:val="0"/>
          <w:i w:val="0"/>
          <w:color w:val="1B5E8C"/>
          <w:sz w:val="19"/>
        </w:rPr>
        <w:t>LOAD_WH</w:t>
      </w:r>
      <w:r>
        <w:rPr>
          <w:b w:val="0"/>
          <w:i w:val="0"/>
          <w:sz w:val="20"/>
        </w:rPr>
        <w:t xml:space="preserve">, or edit the </w:t>
      </w:r>
      <w:r>
        <w:rPr>
          <w:rFonts w:ascii="Consolas" w:hAnsi="Consolas"/>
          <w:b w:val="0"/>
          <w:i w:val="0"/>
          <w:color w:val="1B5E8C"/>
          <w:sz w:val="19"/>
        </w:rPr>
        <w:t>WAREHOUSE</w:t>
      </w:r>
      <w:r>
        <w:rPr>
          <w:b w:val="0"/>
          <w:i w:val="0"/>
          <w:sz w:val="20"/>
        </w:rPr>
        <w:t xml:space="preserve"> clause.</w:t>
      </w:r>
    </w:p>
    <w:p>
      <w:pPr>
        <w:spacing w:after="120"/>
      </w:pPr>
      <w:r>
        <w:rPr>
          <w:b w:val="0"/>
          <w:i w:val="0"/>
          <w:sz w:val="20"/>
        </w:rPr>
        <w:t xml:space="preserve">Build </w:t>
      </w:r>
      <w:r>
        <w:rPr>
          <w:rFonts w:ascii="Consolas" w:hAnsi="Consolas"/>
          <w:b w:val="0"/>
          <w:i w:val="0"/>
          <w:color w:val="1B5E8C"/>
          <w:sz w:val="19"/>
        </w:rPr>
        <w:t>DT_JOURNAL_ENTRY_360</w:t>
      </w:r>
      <w:r>
        <w:rPr>
          <w:b w:val="0"/>
          <w:i w:val="0"/>
          <w:sz w:val="20"/>
        </w:rPr>
        <w:t xml:space="preserve"> first. It is the wide join — line items to header to the cost centre, profit centre and GL account masters — and the five aggregates depend on it. This is also the object where the signed-amount handling is written once: </w:t>
      </w:r>
      <w:r>
        <w:rPr>
          <w:rFonts w:ascii="Consolas" w:hAnsi="Consolas"/>
          <w:b w:val="0"/>
          <w:i w:val="0"/>
          <w:color w:val="1B5E8C"/>
          <w:sz w:val="19"/>
        </w:rPr>
        <w:t>ABS</w:t>
      </w:r>
      <w:r>
        <w:rPr>
          <w:b w:val="0"/>
          <w:i w:val="0"/>
          <w:sz w:val="20"/>
        </w:rPr>
        <w:t xml:space="preserve"> on the amount with a </w:t>
      </w:r>
      <w:r>
        <w:rPr>
          <w:rFonts w:ascii="Consolas" w:hAnsi="Consolas"/>
          <w:b w:val="0"/>
          <w:i w:val="0"/>
          <w:color w:val="1B5E8C"/>
          <w:sz w:val="19"/>
        </w:rPr>
        <w:t>DEBITCREDITCODE</w:t>
      </w:r>
      <w:r>
        <w:rPr>
          <w:b w:val="0"/>
          <w:i w:val="0"/>
          <w:sz w:val="20"/>
        </w:rPr>
        <w:t xml:space="preserve"> filter.</w:t>
      </w:r>
    </w:p>
    <w:p>
      <w:pPr>
        <w:spacing w:after="120"/>
      </w:pPr>
      <w:r>
        <w:rPr>
          <w:b w:val="0"/>
          <w:i w:val="0"/>
          <w:sz w:val="20"/>
        </w:rPr>
        <w:t>Then the aggregates: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Built from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DT_JOURNAL_ENTRY_360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 line items + header + 3 masters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DT_GL_BALANCE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DT_JOURNAL_ENTRY_360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DT_PNL_SUMMARY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DT_JOURNAL_ENTRY_360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DT_EXPENSE_BY_COSTCENTER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DT_JOURNAL_ENTRY_360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DT_REVENUE_BY_PROFITCENTER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DT_JOURNAL_ENTRY_360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DT_AP_AGING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L1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SUPPLIERINVOICE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generated — see below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All six dynamic tables are declared </w:t>
      </w:r>
      <w:r>
        <w:rPr>
          <w:rFonts w:ascii="Consolas" w:hAnsi="Consolas"/>
          <w:b w:val="0"/>
          <w:i w:val="0"/>
          <w:color w:val="1B5E8C"/>
          <w:sz w:val="19"/>
        </w:rPr>
        <w:t>TARGET_LAG = 'DOWNSTREAM'</w:t>
      </w:r>
      <w:r>
        <w:rPr>
          <w:b w:val="0"/>
          <w:i w:val="0"/>
          <w:sz w:val="20"/>
        </w:rPr>
        <w:t xml:space="preserve"> with </w:t>
      </w:r>
      <w:r>
        <w:rPr>
          <w:rFonts w:ascii="Consolas" w:hAnsi="Consolas"/>
          <w:b w:val="0"/>
          <w:i w:val="0"/>
          <w:color w:val="1B5E8C"/>
          <w:sz w:val="19"/>
        </w:rPr>
        <w:t>REFRESH_MODE = AUTO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color w:val="1B5E8C"/>
          <w:sz w:val="19"/>
        </w:rPr>
        <w:t>INITIALIZE = ON_CREATE</w:t>
      </w:r>
      <w:r>
        <w:rPr>
          <w:b w:val="0"/>
          <w:i w:val="0"/>
          <w:sz w:val="20"/>
        </w:rPr>
        <w:t>, so they populate as they are created and thereafter refresh according to what reads them.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DT_AR_AGING</w:t>
      </w:r>
      <w:r>
        <w:rPr>
          <w:b w:val="0"/>
          <w:i w:val="0"/>
          <w:sz w:val="20"/>
        </w:rPr>
        <w:t xml:space="preserve"> is the exception. The SAP BDC Standard Data Products in scope publish no receivables object, so there is nothing to build a dynamic table on. It is created as a plain table from generated data, which is why it carries the </w:t>
      </w:r>
      <w:r>
        <w:rPr>
          <w:rFonts w:ascii="Consolas" w:hAnsi="Consolas"/>
          <w:b w:val="0"/>
          <w:i w:val="0"/>
          <w:color w:val="1B5E8C"/>
          <w:sz w:val="19"/>
        </w:rPr>
        <w:t>DT_</w:t>
      </w:r>
      <w:r>
        <w:rPr>
          <w:b w:val="0"/>
          <w:i w:val="0"/>
          <w:sz w:val="20"/>
        </w:rPr>
        <w:t xml:space="preserve"> prefix while not being a dynamic table. Say this out loud when handing the stack over; the prefix will otherwise mislead.</w:t>
      </w:r>
    </w:p>
    <w:p>
      <w:pPr>
        <w:spacing w:after="120"/>
      </w:pPr>
      <w:r>
        <w:rPr>
          <w:b w:val="0"/>
          <w:i w:val="0"/>
          <w:sz w:val="20"/>
        </w:rPr>
        <w:t xml:space="preserve">Verification after this step: 7 objects, </w:t>
      </w:r>
      <w:r>
        <w:rPr>
          <w:b/>
          <w:i w:val="0"/>
          <w:sz w:val="20"/>
        </w:rPr>
        <w:t>20,011 rows</w:t>
      </w:r>
      <w:r>
        <w:rPr>
          <w:b w:val="0"/>
          <w:i w:val="0"/>
          <w:sz w:val="20"/>
        </w:rPr>
        <w:t xml:space="preserve">, and </w:t>
      </w:r>
      <w:r>
        <w:rPr>
          <w:rFonts w:ascii="Consolas" w:hAnsi="Consolas"/>
          <w:b w:val="0"/>
          <w:i w:val="0"/>
          <w:color w:val="1B5E8C"/>
          <w:sz w:val="19"/>
        </w:rPr>
        <w:t>SHOW DYNAMIC TABLES</w:t>
      </w:r>
      <w:r>
        <w:rPr>
          <w:b w:val="0"/>
          <w:i w:val="0"/>
          <w:sz w:val="20"/>
        </w:rPr>
        <w:t xml:space="preserve"> returning exactly 6.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3 — Reconcile L2 against L0</w:t>
      </w:r>
    </w:p>
    <w:p>
      <w:pPr>
        <w:spacing w:after="120"/>
      </w:pPr>
      <w:r>
        <w:rPr>
          <w:b w:val="0"/>
          <w:i w:val="0"/>
          <w:sz w:val="20"/>
        </w:rPr>
        <w:t>Do not proceed to the semantic layer until the numbers tie. This is the step that catches a sign error, and a sign error in L2 is invisible until someone compares a total to SAP.</w:t>
      </w:r>
    </w:p>
    <w:p>
      <w:pPr>
        <w:spacing w:after="120"/>
      </w:pPr>
      <w:r>
        <w:rPr>
          <w:b w:val="0"/>
          <w:i w:val="0"/>
          <w:sz w:val="20"/>
        </w:rPr>
        <w:t xml:space="preserve">The check that matters: total revenue computed from L0 with </w:t>
      </w:r>
      <w:r>
        <w:rPr>
          <w:rFonts w:ascii="Consolas" w:hAnsi="Consolas"/>
          <w:b w:val="0"/>
          <w:i w:val="0"/>
          <w:color w:val="1B5E8C"/>
          <w:sz w:val="19"/>
        </w:rPr>
        <w:t>ABS</w:t>
      </w:r>
      <w:r>
        <w:rPr>
          <w:b w:val="0"/>
          <w:i w:val="0"/>
          <w:sz w:val="20"/>
        </w:rPr>
        <w:t xml:space="preserve"> plus a </w:t>
      </w:r>
      <w:r>
        <w:rPr>
          <w:rFonts w:ascii="Consolas" w:hAnsi="Consolas"/>
          <w:b w:val="0"/>
          <w:i w:val="0"/>
          <w:color w:val="1B5E8C"/>
          <w:sz w:val="19"/>
        </w:rPr>
        <w:t>DEBITCREDITCODE</w:t>
      </w:r>
      <w:r>
        <w:rPr>
          <w:b w:val="0"/>
          <w:i w:val="0"/>
          <w:sz w:val="20"/>
        </w:rPr>
        <w:t xml:space="preserve"> filter, against </w:t>
      </w:r>
      <w:r>
        <w:rPr>
          <w:rFonts w:ascii="Consolas" w:hAnsi="Consolas"/>
          <w:b w:val="0"/>
          <w:i w:val="0"/>
          <w:color w:val="1B5E8C"/>
          <w:sz w:val="19"/>
        </w:rPr>
        <w:t>SUM(REVENUE)</w:t>
      </w:r>
      <w:r>
        <w:rPr>
          <w:b w:val="0"/>
          <w:i w:val="0"/>
          <w:sz w:val="20"/>
        </w:rPr>
        <w:t xml:space="preserve"> from </w:t>
      </w:r>
      <w:r>
        <w:rPr>
          <w:rFonts w:ascii="Consolas" w:hAnsi="Consolas"/>
          <w:b w:val="0"/>
          <w:i w:val="0"/>
          <w:color w:val="1B5E8C"/>
          <w:sz w:val="19"/>
        </w:rPr>
        <w:t>DT_PNL_SUMMARY</w:t>
      </w:r>
      <w:r>
        <w:rPr>
          <w:b w:val="0"/>
          <w:i w:val="0"/>
          <w:sz w:val="20"/>
        </w:rPr>
        <w:t>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Side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L0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OPERATIONALACCTGDOCITEM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ABS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DEBITCREDITCODE</w:t>
            </w:r>
            <w:r>
              <w:rPr>
                <w:b w:val="0"/>
                <w:sz w:val="17"/>
              </w:rPr>
              <w:t xml:space="preserve"> filter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$2,250,872,386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L2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DT_PNL_SUMMARY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SUM(REVENUE)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$2,250,872,386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Difference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An exact match to the dollar. That is the evidence that the L1→L2 chain neither drops nor double-counts rows and that the sign handling is right.</w:t>
      </w:r>
    </w:p>
    <w:p>
      <w:pPr>
        <w:spacing w:after="120"/>
      </w:pPr>
      <w:r>
        <w:rPr>
          <w:b w:val="0"/>
          <w:i w:val="0"/>
          <w:sz w:val="20"/>
        </w:rPr>
        <w:t xml:space="preserve">If this does not tie, the fault is almost always in the </w:t>
      </w:r>
      <w:r>
        <w:rPr>
          <w:rFonts w:ascii="Consolas" w:hAnsi="Consolas"/>
          <w:b w:val="0"/>
          <w:i w:val="0"/>
          <w:color w:val="1B5E8C"/>
          <w:sz w:val="19"/>
        </w:rPr>
        <w:t>DEBITCREDITCODE</w:t>
      </w:r>
      <w:r>
        <w:rPr>
          <w:b w:val="0"/>
          <w:i w:val="0"/>
          <w:sz w:val="20"/>
        </w:rPr>
        <w:t xml:space="preserve"> predicate rather than in the join.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4 — Semantic views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sql/04_semantic_view.sql</w:t>
      </w:r>
      <w:r>
        <w:rPr>
          <w:b w:val="0"/>
          <w:i w:val="0"/>
          <w:sz w:val="20"/>
        </w:rPr>
        <w:t>. Produces two semantic views over L2:</w:t>
      </w:r>
    </w:p>
    <w:p>
      <w:pPr>
        <w:pStyle w:val="ListBullet"/>
        <w:spacing w:after="40"/>
      </w:pPr>
      <w:r>
        <w:rPr>
          <w:rFonts w:ascii="Consolas" w:hAnsi="Consolas"/>
          <w:b w:val="0"/>
          <w:color w:val="1B5E8C"/>
          <w:sz w:val="19"/>
        </w:rPr>
        <w:t>SAP_FINANCE_360.ANALYTICS.SAP_FINANCE_360</w:t>
      </w:r>
      <w:r>
        <w:rPr>
          <w:b w:val="0"/>
          <w:sz w:val="20"/>
        </w:rPr>
        <w:t xml:space="preserve"> — 4 logical tables (</w:t>
      </w:r>
      <w:r>
        <w:rPr>
          <w:rFonts w:ascii="Consolas" w:hAnsi="Consolas"/>
          <w:b w:val="0"/>
          <w:color w:val="1B5E8C"/>
          <w:sz w:val="19"/>
        </w:rPr>
        <w:t>AR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EXPENSE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JOURNAL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REVENUE</w:t>
      </w:r>
      <w:r>
        <w:rPr>
          <w:b w:val="0"/>
          <w:sz w:val="20"/>
        </w:rPr>
        <w:t>), 45 metrics, 0 relationships.</w:t>
      </w:r>
    </w:p>
    <w:p>
      <w:pPr>
        <w:pStyle w:val="ListBullet"/>
        <w:spacing w:after="40"/>
      </w:pPr>
      <w:r>
        <w:rPr>
          <w:rFonts w:ascii="Consolas" w:hAnsi="Consolas"/>
          <w:b w:val="0"/>
          <w:color w:val="1B5E8C"/>
          <w:sz w:val="19"/>
        </w:rPr>
        <w:t>SAP_FINANCE_360.SEMANTIC.SAP_FINANCE_360_ANALYTICS</w:t>
      </w:r>
      <w:r>
        <w:rPr>
          <w:b w:val="0"/>
          <w:sz w:val="20"/>
        </w:rPr>
        <w:t xml:space="preserve"> — 5 logical tables (</w:t>
      </w:r>
      <w:r>
        <w:rPr>
          <w:rFonts w:ascii="Consolas" w:hAnsi="Consolas"/>
          <w:b w:val="0"/>
          <w:color w:val="1B5E8C"/>
          <w:sz w:val="19"/>
        </w:rPr>
        <w:t>AP_AGING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EXPENSE_BY_COSTCENTER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JOURNAL_ENTRY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PNL_SUMMARY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REVENUE_BY_PROFITCENTER</w:t>
      </w:r>
      <w:r>
        <w:rPr>
          <w:b w:val="0"/>
          <w:sz w:val="20"/>
        </w:rPr>
        <w:t>), 12 relationships, 0 metrics.</w:t>
      </w:r>
    </w:p>
    <w:p>
      <w:pPr>
        <w:spacing w:after="120"/>
      </w:pPr>
      <w:r>
        <w:rPr>
          <w:b w:val="0"/>
          <w:i w:val="0"/>
          <w:sz w:val="20"/>
        </w:rPr>
        <w:t xml:space="preserve">Building two rather than one was not planned as a design; it is where the work landed, and the split is awkward — metrics in one, relationships in the other, </w:t>
      </w:r>
      <w:r>
        <w:rPr>
          <w:rFonts w:ascii="Consolas" w:hAnsi="Consolas"/>
          <w:b w:val="0"/>
          <w:i w:val="0"/>
          <w:color w:val="1B5E8C"/>
          <w:sz w:val="19"/>
        </w:rPr>
        <w:t>DT_GL_BALANCE</w:t>
      </w:r>
      <w:r>
        <w:rPr>
          <w:b w:val="0"/>
          <w:i w:val="0"/>
          <w:sz w:val="20"/>
        </w:rPr>
        <w:t xml:space="preserve"> in neither. If you are reproducing this, consider consolidating. See findings (05-findings.md#two-semantic-views-and-neither-is-complete).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5 — The Cortex Analyst stage model</w:t>
      </w:r>
    </w:p>
    <w:p>
      <w:pPr>
        <w:spacing w:after="120"/>
      </w:pPr>
      <w:r>
        <w:rPr>
          <w:b w:val="0"/>
          <w:i w:val="0"/>
          <w:sz w:val="20"/>
        </w:rPr>
        <w:t xml:space="preserve">Upload </w:t>
      </w:r>
      <w:r>
        <w:rPr>
          <w:rFonts w:ascii="Consolas" w:hAnsi="Consolas"/>
          <w:b w:val="0"/>
          <w:i w:val="0"/>
          <w:color w:val="1B5E8C"/>
          <w:sz w:val="19"/>
        </w:rPr>
        <w:t>finance_360.semantic.yaml</w:t>
      </w:r>
      <w:r>
        <w:rPr>
          <w:b w:val="0"/>
          <w:i w:val="0"/>
          <w:sz w:val="20"/>
        </w:rPr>
        <w:t xml:space="preserve"> to </w:t>
      </w:r>
      <w:r>
        <w:rPr>
          <w:rFonts w:ascii="Consolas" w:hAnsi="Consolas"/>
          <w:b w:val="0"/>
          <w:i w:val="0"/>
          <w:color w:val="1B5E8C"/>
          <w:sz w:val="19"/>
        </w:rPr>
        <w:t>@SAP_FINANCE_360.SEMANTIC.SEMANTIC_MODELS/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 w:val="0"/>
          <w:i w:val="0"/>
          <w:sz w:val="20"/>
        </w:rPr>
        <w:t xml:space="preserve">This is a </w:t>
      </w:r>
      <w:r>
        <w:rPr>
          <w:b/>
          <w:i w:val="0"/>
          <w:sz w:val="20"/>
        </w:rPr>
        <w:t>separate artefact from step 4</w:t>
      </w:r>
      <w:r>
        <w:rPr>
          <w:b w:val="0"/>
          <w:i w:val="0"/>
          <w:sz w:val="20"/>
        </w:rPr>
        <w:t xml:space="preserve">, not a serialisation of it. It declares the model </w:t>
      </w:r>
      <w:r>
        <w:rPr>
          <w:rFonts w:ascii="Consolas" w:hAnsi="Consolas"/>
          <w:b w:val="0"/>
          <w:i w:val="0"/>
          <w:color w:val="1B5E8C"/>
          <w:sz w:val="19"/>
        </w:rPr>
        <w:t>sap_finance_360</w:t>
      </w:r>
      <w:r>
        <w:rPr>
          <w:b w:val="0"/>
          <w:i w:val="0"/>
          <w:sz w:val="20"/>
        </w:rPr>
        <w:t xml:space="preserve"> over 4 base tables with 24 dimensions and 9 measures.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Base table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In Analyst model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ANALYTICS.DT_JOURNAL_ENTRY_360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ANALYTICS.DT_EXPENSE_BY_COSTCENTER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ANALYTICS.DT_REVENUE_BY_PROFITCENTER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ANALYTICS.DT_AR_AGING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ANALYTICS.DT_AP_AGING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ANALYTICS.DT_GL_BALANCE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ANALYTICS.DT_PNL_SUMMARY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0"/>
        </w:rPr>
        <w:t>Verified queries: 0.</w:t>
      </w:r>
      <w:r>
        <w:rPr>
          <w:b w:val="0"/>
          <w:i w:val="0"/>
          <w:sz w:val="20"/>
        </w:rPr>
        <w:t xml:space="preserve"> This step is therefore incomplete as shipped. Verified queries are the mechanism by which Cortex Analyst learns the question shapes a model is meant to serve; with none, every question is answered from the schema alone. Adding them is the highest-value remaining work on this stack — see the analyst and agent layer (07-analyst-and-agent.md#the-verified-query-gap).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6 — The Cortex Agent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sql/05_cortex_agent.sql</w:t>
      </w:r>
      <w:r>
        <w:rPr>
          <w:b w:val="0"/>
          <w:i w:val="0"/>
          <w:sz w:val="20"/>
        </w:rPr>
        <w:t xml:space="preserve"> creates </w:t>
      </w:r>
      <w:r>
        <w:rPr>
          <w:rFonts w:ascii="Consolas" w:hAnsi="Consolas"/>
          <w:b w:val="0"/>
          <w:i w:val="0"/>
          <w:color w:val="1B5E8C"/>
          <w:sz w:val="19"/>
        </w:rPr>
        <w:t>SAP_FINANCE_360_AGENT</w:t>
      </w:r>
      <w:r>
        <w:rPr>
          <w:b w:val="0"/>
          <w:i w:val="0"/>
          <w:sz w:val="20"/>
        </w:rPr>
        <w:t>, reachable from Snowflake Intelligence.</w:t>
      </w:r>
    </w:p>
    <w:p>
      <w:pPr>
        <w:spacing w:after="120"/>
      </w:pPr>
      <w:r>
        <w:rPr>
          <w:b w:val="0"/>
          <w:i w:val="0"/>
          <w:sz w:val="20"/>
        </w:rPr>
        <w:t xml:space="preserve">The agent is a separate consumer from the app. Confirming the agent answers correctly does not confirm the app's </w:t>
      </w:r>
      <w:r>
        <w:rPr>
          <w:rFonts w:ascii="Consolas" w:hAnsi="Consolas"/>
          <w:b w:val="0"/>
          <w:i w:val="0"/>
          <w:color w:val="1B5E8C"/>
          <w:sz w:val="19"/>
        </w:rPr>
        <w:t>/api/analyst</w:t>
      </w:r>
      <w:r>
        <w:rPr>
          <w:b w:val="0"/>
          <w:i w:val="0"/>
          <w:sz w:val="20"/>
        </w:rPr>
        <w:t xml:space="preserve"> route will, because that route goes to the stage model. (The route has no in-app page since the nav change.)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7 — The application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1B5E8C"/>
          <w:sz w:val="19"/>
        </w:rPr>
        <w:t>scripts/build_and_push.sh</w:t>
      </w:r>
      <w:r>
        <w:rPr>
          <w:b w:val="0"/>
          <w:sz w:val="20"/>
        </w:rPr>
        <w:t xml:space="preserve"> — build the client and server images and push to the image repository.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1B5E8C"/>
          <w:sz w:val="19"/>
        </w:rPr>
        <w:t>scripts/migrate_data.py</w:t>
      </w:r>
      <w:r>
        <w:rPr>
          <w:b w:val="0"/>
          <w:sz w:val="20"/>
        </w:rPr>
        <w:t xml:space="preserve"> — stage what the app needs.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1B5E8C"/>
          <w:sz w:val="19"/>
        </w:rPr>
        <w:t>scripts/deploy_native_app.py</w:t>
      </w:r>
      <w:r>
        <w:rPr>
          <w:b w:val="0"/>
          <w:sz w:val="20"/>
        </w:rPr>
        <w:t xml:space="preserve"> — create the application package and the application from </w:t>
      </w:r>
      <w:r>
        <w:rPr>
          <w:rFonts w:ascii="Consolas" w:hAnsi="Consolas"/>
          <w:b w:val="0"/>
          <w:color w:val="1B5E8C"/>
          <w:sz w:val="19"/>
        </w:rPr>
        <w:t>app/manifest.yml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app/setup.sql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color w:val="1B5E8C"/>
          <w:sz w:val="19"/>
        </w:rPr>
        <w:t>app/service_spec.yml</w:t>
      </w:r>
      <w:r>
        <w:rPr>
          <w:b w:val="0"/>
          <w:sz w:val="20"/>
        </w:rPr>
        <w:t>.</w:t>
      </w:r>
    </w:p>
    <w:p>
      <w:pPr>
        <w:pStyle w:val="ListNumber"/>
        <w:spacing w:after="40"/>
      </w:pPr>
      <w:r>
        <w:rPr>
          <w:rFonts w:ascii="Consolas" w:hAnsi="Consolas"/>
          <w:b w:val="0"/>
          <w:color w:val="1B5E8C"/>
          <w:sz w:val="19"/>
        </w:rPr>
        <w:t>scripts/create_org_listing.py</w:t>
      </w:r>
      <w:r>
        <w:rPr>
          <w:b w:val="0"/>
          <w:sz w:val="20"/>
        </w:rPr>
        <w:t xml:space="preserve"> — publish the org listing for multi-region distribution.</w:t>
      </w:r>
    </w:p>
    <w:p>
      <w:pPr>
        <w:spacing w:after="120"/>
      </w:pPr>
      <w:r>
        <w:rPr>
          <w:b w:val="0"/>
          <w:i w:val="0"/>
          <w:sz w:val="20"/>
        </w:rPr>
        <w:t xml:space="preserve">All SQL belongs in the server's </w:t>
      </w:r>
      <w:r>
        <w:rPr>
          <w:rFonts w:ascii="Consolas" w:hAnsi="Consolas"/>
          <w:b w:val="0"/>
          <w:i w:val="0"/>
          <w:color w:val="1B5E8C"/>
          <w:sz w:val="19"/>
        </w:rPr>
        <w:t>api.ts</w:t>
      </w:r>
      <w:r>
        <w:rPr>
          <w:b w:val="0"/>
          <w:i w:val="0"/>
          <w:sz w:val="20"/>
        </w:rPr>
        <w:t xml:space="preserve">. Keeping it there is what makes the data-source census in architecture (02-architecture.md#the-app-reads-two-layers) possible — a </w:t>
      </w:r>
      <w:r>
        <w:rPr>
          <w:rFonts w:ascii="Consolas" w:hAnsi="Consolas"/>
          <w:b w:val="0"/>
          <w:i w:val="0"/>
          <w:color w:val="1B5E8C"/>
          <w:sz w:val="19"/>
        </w:rPr>
        <w:t>FROM</w:t>
      </w:r>
      <w:r>
        <w:rPr>
          <w:b w:val="0"/>
          <w:i w:val="0"/>
          <w:sz w:val="20"/>
        </w:rPr>
        <w:t>-clause grep over one file is a complete inventory. Put one query in the client and that stops being true.</w:t>
      </w:r>
    </w:p>
    <w:p>
      <w:pPr>
        <w:spacing w:after="120"/>
      </w:pPr>
      <w:r>
        <w:rPr>
          <w:b w:val="0"/>
          <w:i w:val="0"/>
          <w:sz w:val="20"/>
        </w:rPr>
        <w:t>Build the nine pages in the order they appear in the sidebar: Ask Cortex first, then Executive Dashboard (the page the app opens on), then the data pages.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8 — Capture and document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tools/capture_shots.py</w:t>
      </w:r>
      <w:r>
        <w:rPr>
          <w:b w:val="0"/>
          <w:i w:val="0"/>
          <w:sz w:val="20"/>
        </w:rPr>
        <w:t xml:space="preserve"> drives the deployed app and writes one PNG per page to </w:t>
      </w:r>
      <w:r>
        <w:rPr>
          <w:rFonts w:ascii="Consolas" w:hAnsi="Consolas"/>
          <w:b w:val="0"/>
          <w:i w:val="0"/>
          <w:color w:val="1B5E8C"/>
          <w:sz w:val="19"/>
        </w:rPr>
        <w:t>/tmp/finance_shots/</w:t>
      </w:r>
      <w:r>
        <w:rPr>
          <w:b w:val="0"/>
          <w:i w:val="0"/>
          <w:sz w:val="20"/>
        </w:rPr>
        <w:t xml:space="preserve"> with a </w:t>
      </w:r>
      <w:r>
        <w:rPr>
          <w:rFonts w:ascii="Consolas" w:hAnsi="Consolas"/>
          <w:b w:val="0"/>
          <w:i w:val="0"/>
          <w:color w:val="1B5E8C"/>
          <w:sz w:val="19"/>
        </w:rPr>
        <w:t>manifest.json</w:t>
      </w:r>
      <w:r>
        <w:rPr>
          <w:b w:val="0"/>
          <w:i w:val="0"/>
          <w:sz w:val="20"/>
        </w:rPr>
        <w:t xml:space="preserve"> recording, per page, the selector the capture settled on.</w:t>
      </w:r>
    </w:p>
    <w:p>
      <w:pPr>
        <w:spacing w:after="120"/>
      </w:pPr>
      <w:r>
        <w:rPr>
          <w:b w:val="0"/>
          <w:i w:val="0"/>
          <w:sz w:val="20"/>
        </w:rPr>
        <w:t>Nine pages, nine screenshots: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Settled 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00_ask-cortex.png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Ask Cortex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[class*=card]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01_overview.png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Executive Dashboard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02_general-ledger.png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General Ledger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03_cost-centers.png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Cost Centers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04_profit-centers.png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Profit Centers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05_accounts-payable.png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Accounts Payable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06_accounts-receivable.png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Accounts Receivable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07_period-analysis.png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Period Analysis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08_lineage.png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BDC Sources &amp; Lineage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[class*=card]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Filenames are </w:t>
      </w:r>
      <w:r>
        <w:rPr>
          <w:rFonts w:ascii="Consolas" w:hAnsi="Consolas"/>
          <w:b w:val="0"/>
          <w:i w:val="0"/>
          <w:color w:val="1B5E8C"/>
          <w:sz w:val="19"/>
        </w:rPr>
        <w:t>&lt;index&gt;_&lt;sidebar id&gt;.png</w:t>
      </w:r>
      <w:r>
        <w:rPr>
          <w:b w:val="0"/>
          <w:i w:val="0"/>
          <w:sz w:val="20"/>
        </w:rPr>
        <w:t xml:space="preserve">. The capture clicks every page, including the first, because the app opens on Executive Dashboard (item 2), not on item 1. The settle selectors for Ask Cortex and BDC Sources &amp; Lineage are expected rather than re-verified since the nav change — check </w:t>
      </w:r>
      <w:r>
        <w:rPr>
          <w:rFonts w:ascii="Consolas" w:hAnsi="Consolas"/>
          <w:b w:val="0"/>
          <w:i w:val="0"/>
          <w:color w:val="1B5E8C"/>
          <w:sz w:val="19"/>
        </w:rPr>
        <w:t>manifest.json</w:t>
      </w:r>
      <w:r>
        <w:rPr>
          <w:b w:val="0"/>
          <w:i w:val="0"/>
          <w:sz w:val="20"/>
        </w:rPr>
        <w:t>. Pages with no chart are card layouts. A capture script waiting for a canvas on those pages waits forever, so the settle selector is per-page rather than global.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tools/finance_facts.py</w:t>
      </w:r>
      <w:r>
        <w:rPr>
          <w:b w:val="0"/>
          <w:i w:val="0"/>
          <w:sz w:val="20"/>
        </w:rPr>
        <w:t xml:space="preserve"> extracts the verified figures used throughout this handbook, each with its provenance query recorded alongside it. Documentation is written from that extract rather than from memory, so a number in this handbook can always be traced to the statement that produced it.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9 — Word deliverables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tools/build_docs_docx.py</w:t>
      </w:r>
      <w:r>
        <w:rPr>
          <w:b w:val="0"/>
          <w:i w:val="0"/>
          <w:sz w:val="20"/>
        </w:rPr>
        <w:t xml:space="preserve"> renders each markdown document in </w:t>
      </w:r>
      <w:r>
        <w:rPr>
          <w:rFonts w:ascii="Consolas" w:hAnsi="Consolas"/>
          <w:b w:val="0"/>
          <w:i w:val="0"/>
          <w:color w:val="1B5E8C"/>
          <w:sz w:val="19"/>
        </w:rPr>
        <w:t>docs/</w:t>
      </w:r>
      <w:r>
        <w:rPr>
          <w:b w:val="0"/>
          <w:i w:val="0"/>
          <w:sz w:val="20"/>
        </w:rPr>
        <w:t xml:space="preserve"> as a branded </w:t>
      </w:r>
      <w:r>
        <w:rPr>
          <w:rFonts w:ascii="Consolas" w:hAnsi="Consolas"/>
          <w:b w:val="0"/>
          <w:i w:val="0"/>
          <w:color w:val="1B5E8C"/>
          <w:sz w:val="19"/>
        </w:rPr>
        <w:t>.docx</w:t>
      </w:r>
      <w:r>
        <w:rPr>
          <w:b w:val="0"/>
          <w:i w:val="0"/>
          <w:sz w:val="20"/>
        </w:rPr>
        <w:t xml:space="preserve"> and also emits a combined handbook with a contents page, into </w:t>
      </w:r>
      <w:r>
        <w:rPr>
          <w:rFonts w:ascii="Consolas" w:hAnsi="Consolas"/>
          <w:b w:val="0"/>
          <w:i w:val="0"/>
          <w:color w:val="1B5E8C"/>
          <w:sz w:val="19"/>
        </w:rPr>
        <w:t>docs/docx/</w:t>
      </w:r>
      <w:r>
        <w:rPr>
          <w:b w:val="0"/>
          <w:i w:val="0"/>
          <w:sz w:val="20"/>
        </w:rPr>
        <w:t>. Nine files: eight parts plus the handbook.</w:t>
      </w:r>
    </w:p>
    <w:p>
      <w:pPr>
        <w:spacing w:after="120"/>
      </w:pPr>
      <w:r>
        <w:rPr>
          <w:b w:val="0"/>
          <w:i w:val="0"/>
          <w:sz w:val="20"/>
        </w:rPr>
        <w:t>Run it after any documentation edit; the Word files are generated artefacts and are never edited directly.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