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Finance 360</w:t>
      </w:r>
    </w:p>
    <w:p>
      <w:pPr>
        <w:spacing w:after="40"/>
      </w:pPr>
      <w:r>
        <w:rPr>
          <w:b/>
          <w:color w:val="1B3A57"/>
          <w:sz w:val="44"/>
        </w:rPr>
        <w:t>Execution</w:t>
      </w:r>
    </w:p>
    <w:p>
      <w:pPr>
        <w:spacing w:after="280"/>
      </w:pPr>
      <w:r>
        <w:rPr>
          <w:color w:val="5A6A7A"/>
          <w:sz w:val="19"/>
        </w:rPr>
        <w:t>Generated from docs/04-execution.md  ·  part 04</w:t>
      </w:r>
    </w:p>
    <w:p>
      <w:pPr>
        <w:spacing w:after="120"/>
      </w:pPr>
      <w:r>
        <w:rPr>
          <w:b w:val="0"/>
          <w:i w:val="0"/>
          <w:sz w:val="20"/>
        </w:rPr>
        <w:t>Running, refreshing and verifying the stack once it is built. Ordered by how often you will need each thing.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Prerequisites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Account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MSB89522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PUBLIC.AWS_US_WEST_2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ACCOUNTADMIN</w:t>
            </w:r>
            <w:r>
              <w:rPr>
                <w:b w:val="0"/>
                <w:sz w:val="17"/>
              </w:rPr>
              <w:t>, or a role holding the L0 share grants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Warehouse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LOAD_WH</w:t>
            </w:r>
            <w:r>
              <w:rPr>
                <w:b w:val="0"/>
                <w:sz w:val="17"/>
              </w:rPr>
              <w:t xml:space="preserve"> for the dynamic tables, or edit the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WAREHOUSE</w:t>
            </w:r>
            <w:r>
              <w:rPr>
                <w:b w:val="0"/>
                <w:sz w:val="17"/>
              </w:rPr>
              <w:t xml:space="preserve"> clause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shares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three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SAP_BDC_DEMO_*</w:t>
            </w:r>
            <w:r>
              <w:rPr>
                <w:b w:val="0"/>
                <w:sz w:val="17"/>
              </w:rPr>
              <w:t xml:space="preserve"> databases mounted and selectable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Python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for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tools/</w:t>
            </w:r>
            <w:r>
              <w:rPr>
                <w:b w:val="0"/>
                <w:sz w:val="17"/>
              </w:rPr>
              <w:t xml:space="preserve"> —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python-docx</w:t>
            </w:r>
            <w:r>
              <w:rPr>
                <w:b w:val="0"/>
                <w:sz w:val="17"/>
              </w:rPr>
              <w:t>, plus a Snowflake connection for the fact extractor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repository is at </w:t>
      </w:r>
      <w:r>
        <w:rPr>
          <w:rFonts w:ascii="Consolas" w:hAnsi="Consolas"/>
          <w:b w:val="0"/>
          <w:i w:val="0"/>
          <w:color w:val="1B5E8C"/>
          <w:sz w:val="19"/>
        </w:rPr>
        <w:t>https://github.com/sfc-gh-dfreriks/sap-bdc-finance-360</w:t>
      </w:r>
      <w:r>
        <w:rPr>
          <w:b w:val="0"/>
          <w:i w:val="0"/>
          <w:sz w:val="20"/>
        </w:rPr>
        <w:t>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First run</w:t>
      </w:r>
    </w:p>
    <w:p>
      <w:pPr>
        <w:spacing w:after="120"/>
      </w:pPr>
      <w:r>
        <w:rPr>
          <w:b w:val="0"/>
          <w:i w:val="0"/>
          <w:sz w:val="20"/>
        </w:rPr>
        <w:t xml:space="preserve">Run the SQL in order, as </w:t>
      </w:r>
      <w:r>
        <w:rPr>
          <w:rFonts w:ascii="Consolas" w:hAnsi="Consolas"/>
          <w:b w:val="0"/>
          <w:i w:val="0"/>
          <w:color w:val="1B5E8C"/>
          <w:sz w:val="19"/>
        </w:rPr>
        <w:t>ACCOUNTADMIN</w:t>
      </w:r>
      <w:r>
        <w:rPr>
          <w:b w:val="0"/>
          <w:i w:val="0"/>
          <w:sz w:val="20"/>
        </w:rPr>
        <w:t>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sql/01_l0_sources.md    -- read it; there is nothing to execute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sql/02_l1_curated_views.sql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sql/03_l2_analytics_dynamic_tables.sql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sql/04_semantic_view.sql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sql/05_cortex_agent.sql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Then verify before going further: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-- 4 schemas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count(*) from SAP_FINANCE_360.INFORMATION_SCHEMA.SCHEMATA;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L1: 6 objects, all views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table_type, count(*)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SAP_FINANCE_360.INFORMATION_SCHEMA.TABLES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where table_schema = 'SAP_BDC_L1'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group by 1;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L2: 7 objects, 20,011 rows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count(*) as objects, sum(row_count) as rows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SAP_FINANCE_360.INFORMATION_SCHEMA.TABLES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where table_schema = 'ANALYTICS';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exactly 6 of them are dynamic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show dynamic tables in schema SAP_FINANCE_360.ANALYTICS;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Expected: 4 schemas; 6 rows of </w:t>
      </w:r>
      <w:r>
        <w:rPr>
          <w:rFonts w:ascii="Consolas" w:hAnsi="Consolas"/>
          <w:b w:val="0"/>
          <w:i w:val="0"/>
          <w:color w:val="1B5E8C"/>
          <w:sz w:val="19"/>
        </w:rPr>
        <w:t>VIEW</w:t>
      </w:r>
      <w:r>
        <w:rPr>
          <w:b w:val="0"/>
          <w:i w:val="0"/>
          <w:sz w:val="20"/>
        </w:rPr>
        <w:t xml:space="preserve"> and nothing else in L1; 7 objects and 20,011 rows in L2; 6 dynamic tables.</w:t>
      </w:r>
    </w:p>
    <w:p>
      <w:pPr>
        <w:spacing w:after="120"/>
      </w:pPr>
      <w:r>
        <w:rPr>
          <w:b w:val="0"/>
          <w:i w:val="0"/>
          <w:sz w:val="20"/>
        </w:rPr>
        <w:t xml:space="preserve">If </w:t>
      </w:r>
      <w:r>
        <w:rPr>
          <w:rFonts w:ascii="Consolas" w:hAnsi="Consolas"/>
          <w:b w:val="0"/>
          <w:i w:val="0"/>
          <w:color w:val="1B5E8C"/>
          <w:sz w:val="19"/>
        </w:rPr>
        <w:t>SHOW DYNAMIC TABLES</w:t>
      </w:r>
      <w:r>
        <w:rPr>
          <w:b w:val="0"/>
          <w:i w:val="0"/>
          <w:sz w:val="20"/>
        </w:rPr>
        <w:t xml:space="preserve"> returns 7, something has changed — </w:t>
      </w:r>
      <w:r>
        <w:rPr>
          <w:rFonts w:ascii="Consolas" w:hAnsi="Consolas"/>
          <w:b w:val="0"/>
          <w:i w:val="0"/>
          <w:color w:val="1B5E8C"/>
          <w:sz w:val="19"/>
        </w:rPr>
        <w:t>DT_AR_AGING</w:t>
      </w:r>
      <w:r>
        <w:rPr>
          <w:b w:val="0"/>
          <w:i w:val="0"/>
          <w:sz w:val="20"/>
        </w:rPr>
        <w:t xml:space="preserve"> is supposed to be a plain table.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The reconciliation check</w:t>
      </w:r>
    </w:p>
    <w:p>
      <w:pPr>
        <w:spacing w:after="120"/>
      </w:pPr>
      <w:r>
        <w:rPr>
          <w:b w:val="0"/>
          <w:i w:val="0"/>
          <w:sz w:val="20"/>
        </w:rPr>
        <w:t>This is the one test worth running every time the data changes. It compares revenue computed from L0 to revenue reported by L2.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-- L0/L1 side: signed amounts, so ABS plus a DEBITCREDITCODE filter,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and a GL account range to isolate the P&amp;L lines.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sum(case when GLACCOUNT like '4%' and DEBITCREDITCODE = 'H'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   then abs(AMOUNTINCOMPANYCODECURRENCY) else 0 end) as revenue,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sum(case when (GLACCOUNT like '5%' or GLACCOUNT like '6%') and DEBITCREDITCODE = 'S'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   then abs(AMOUNTINCOMPANYCODECURRENCY) else 0 end) as expenses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SAP_FINANCE_360.SAP_BDC_L1.OPERATIONALACCTGDOCITEM;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L2 side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select sum(REVENUE) as revenue, sum(EXPENSES) as expenses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from SAP_FINANCE_360.ANALYTICS.DT_PNL_SUMMARY;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Both sides must return revenue </w:t>
      </w:r>
      <w:r>
        <w:rPr>
          <w:b/>
          <w:i w:val="0"/>
          <w:sz w:val="20"/>
        </w:rPr>
        <w:t>2250872386</w:t>
      </w:r>
      <w:r>
        <w:rPr>
          <w:b w:val="0"/>
          <w:i w:val="0"/>
          <w:sz w:val="20"/>
        </w:rPr>
        <w:t xml:space="preserve"> and expenses </w:t>
      </w:r>
      <w:r>
        <w:rPr>
          <w:b/>
          <w:i w:val="0"/>
          <w:sz w:val="20"/>
        </w:rPr>
        <w:t>1709590738</w:t>
      </w:r>
      <w:r>
        <w:rPr>
          <w:b w:val="0"/>
          <w:i w:val="0"/>
          <w:sz w:val="20"/>
        </w:rPr>
        <w:t>. As verified on 2026-09-21 they do, on both measures, exactly.</w:t>
      </w:r>
    </w:p>
    <w:p>
      <w:pPr>
        <w:spacing w:after="120"/>
      </w:pPr>
      <w:r>
        <w:rPr>
          <w:b w:val="0"/>
          <w:i w:val="0"/>
          <w:sz w:val="20"/>
        </w:rPr>
        <w:t>The three predicates are all load-bearing, and it is worth knowing what each one is defending against: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Predicate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Why it is there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abs(AMOUNTINCOMPANYCODECURRENCY)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ledger is balanced double-entry.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sum(AMOUNTINCOMPANYCODECURRENCY)</w:t>
            </w:r>
            <w:r>
              <w:rPr>
                <w:b w:val="0"/>
                <w:sz w:val="17"/>
              </w:rPr>
              <w:t xml:space="preserve"> over the whole table returns </w:t>
            </w:r>
            <w:r>
              <w:rPr>
                <w:b/>
                <w:sz w:val="17"/>
              </w:rPr>
              <w:t>exactly 0</w:t>
            </w:r>
            <w:r>
              <w:rPr>
                <w:b w:val="0"/>
                <w:sz w:val="17"/>
              </w:rPr>
              <w:t xml:space="preserve"> — not an approximation, zero. Drop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ABS</w:t>
            </w:r>
            <w:r>
              <w:rPr>
                <w:b w:val="0"/>
                <w:sz w:val="17"/>
              </w:rPr>
              <w:t xml:space="preserve"> and every P&amp;L figure collapses.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DEBITCREDITCODE = 'H'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'S'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H</w:t>
            </w:r>
            <w:r>
              <w:rPr>
                <w:b w:val="0"/>
                <w:sz w:val="17"/>
              </w:rPr>
              <w:t xml:space="preserve"> is the credit side,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</w:t>
            </w:r>
            <w:r>
              <w:rPr>
                <w:b w:val="0"/>
                <w:sz w:val="17"/>
              </w:rPr>
              <w:t xml:space="preserve"> the debit side, and the table holds 5,150 of each. Without the filter both sides are counted and the total doubles: credits and debits each sum to 9,094,935,724 in absolute terms.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GLACCOUNT like '4%'</w:t>
            </w:r>
            <w:r>
              <w:rPr>
                <w:b w:val="0"/>
                <w:sz w:val="17"/>
              </w:rPr>
              <w:t xml:space="preserve"> /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'5%'</w:t>
            </w:r>
            <w:r>
              <w:rPr>
                <w:b w:val="0"/>
                <w:sz w:val="17"/>
              </w:rPr>
              <w:t>,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'6%'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Isolates P&amp;L accounts from balance-sheet accounts.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4</w:t>
            </w:r>
            <w:r>
              <w:rPr>
                <w:b w:val="0"/>
                <w:sz w:val="17"/>
              </w:rPr>
              <w:t xml:space="preserve"> is revenue,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5</w:t>
            </w:r>
            <w:r>
              <w:rPr>
                <w:b w:val="0"/>
                <w:sz w:val="17"/>
              </w:rPr>
              <w:t xml:space="preserve"> and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6</w:t>
            </w:r>
            <w:r>
              <w:rPr>
                <w:b w:val="0"/>
                <w:sz w:val="17"/>
              </w:rPr>
              <w:t xml:space="preserve"> are expense. Without it you are summing the entire ledger, not a P&amp;L.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Do </w:t>
      </w:r>
      <w:r>
        <w:rPr>
          <w:b/>
          <w:i w:val="0"/>
          <w:sz w:val="20"/>
        </w:rPr>
        <w:t>not</w:t>
      </w:r>
      <w:r>
        <w:rPr>
          <w:b w:val="0"/>
          <w:i w:val="0"/>
          <w:sz w:val="20"/>
        </w:rPr>
        <w:t xml:space="preserve"> reach for </w:t>
      </w:r>
      <w:r>
        <w:rPr>
          <w:rFonts w:ascii="Consolas" w:hAnsi="Consolas"/>
          <w:b w:val="0"/>
          <w:i w:val="0"/>
          <w:color w:val="1B5E8C"/>
          <w:sz w:val="19"/>
        </w:rPr>
        <w:t>ABSOLUTEAMOUNTINCOCODECRCY</w:t>
      </w:r>
      <w:r>
        <w:rPr>
          <w:b w:val="0"/>
          <w:i w:val="0"/>
          <w:sz w:val="20"/>
        </w:rPr>
        <w:t xml:space="preserve">, which looks like exactly the column you want and is named as though SAP has already done the work. It is present on the table and it is </w:t>
      </w:r>
      <w:r>
        <w:rPr>
          <w:b/>
          <w:i w:val="0"/>
          <w:sz w:val="20"/>
        </w:rPr>
        <w:t>entirely NULL</w:t>
      </w:r>
      <w:r>
        <w:rPr>
          <w:b w:val="0"/>
          <w:i w:val="0"/>
          <w:sz w:val="20"/>
        </w:rPr>
        <w:t xml:space="preserve"> in this dataset. A query built on it returns NULL rather than a wrong number, which is the one merciful failure mode in this section.</w:t>
      </w:r>
    </w:p>
    <w:p>
      <w:pPr>
        <w:spacing w:after="120"/>
      </w:pPr>
      <w:r>
        <w:rPr>
          <w:b w:val="0"/>
          <w:i w:val="0"/>
          <w:sz w:val="20"/>
        </w:rPr>
        <w:t xml:space="preserve">A mismatch points at the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predicate before it points at the join. Dropping </w:t>
      </w:r>
      <w:r>
        <w:rPr>
          <w:rFonts w:ascii="Consolas" w:hAnsi="Consolas"/>
          <w:b w:val="0"/>
          <w:i w:val="0"/>
          <w:color w:val="1B5E8C"/>
          <w:sz w:val="19"/>
        </w:rPr>
        <w:t>ABS</w:t>
      </w:r>
      <w:r>
        <w:rPr>
          <w:b w:val="0"/>
          <w:i w:val="0"/>
          <w:sz w:val="20"/>
        </w:rPr>
        <w:t xml:space="preserve"> produces a number that looks plausible and is wrong, which is precisely why this check exists as a numeric equality rather than a smoke test.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Refreshing after the SAP data changes</w:t>
      </w:r>
    </w:p>
    <w:p>
      <w:pPr>
        <w:spacing w:after="120"/>
      </w:pPr>
      <w:r>
        <w:rPr>
          <w:b w:val="0"/>
          <w:i w:val="0"/>
          <w:sz w:val="20"/>
        </w:rPr>
        <w:t xml:space="preserve">The six dynamic tables carry </w:t>
      </w:r>
      <w:r>
        <w:rPr>
          <w:rFonts w:ascii="Consolas" w:hAnsi="Consolas"/>
          <w:b w:val="0"/>
          <w:i w:val="0"/>
          <w:color w:val="1B5E8C"/>
          <w:sz w:val="19"/>
        </w:rPr>
        <w:t>TARGET_LAG = 'DOWNSTREAM'</w:t>
      </w:r>
      <w:r>
        <w:rPr>
          <w:b w:val="0"/>
          <w:i w:val="0"/>
          <w:sz w:val="20"/>
        </w:rPr>
        <w:t>, so they refresh in response to being read rather than on a schedule. Nothing needs to be triggered in the normal case.</w:t>
      </w:r>
    </w:p>
    <w:p>
      <w:pPr>
        <w:spacing w:after="120"/>
      </w:pPr>
      <w:r>
        <w:rPr>
          <w:b w:val="0"/>
          <w:i w:val="0"/>
          <w:sz w:val="20"/>
        </w:rPr>
        <w:t>To force it: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alter dynamic table SAP_FINANCE_360.ANALYTICS.DT_JOURNAL_ENTRY_360 refresh;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Refresh the wide table first; the five aggregates are downstream of it and will follow.</w:t>
      </w:r>
    </w:p>
    <w:p>
      <w:pPr>
        <w:spacing w:after="120"/>
      </w:pPr>
      <w:r>
        <w:rPr>
          <w:rFonts w:ascii="Consolas" w:hAnsi="Consolas"/>
          <w:b/>
          <w:i w:val="0"/>
          <w:color w:val="1B5E8C"/>
          <w:sz w:val="19"/>
        </w:rPr>
        <w:t>DT_AR_AGING</w:t>
      </w:r>
      <w:r>
        <w:rPr>
          <w:b/>
          <w:i w:val="0"/>
          <w:sz w:val="20"/>
        </w:rPr>
        <w:t xml:space="preserve"> does not participate.</w:t>
      </w:r>
      <w:r>
        <w:rPr>
          <w:b w:val="0"/>
          <w:i w:val="0"/>
          <w:sz w:val="20"/>
        </w:rPr>
        <w:t xml:space="preserve"> It is a plain table, so no refresh command applies to it and no lag is reported for it. If AR figures need to change, the table is rebuilt by re-running its section of </w:t>
      </w:r>
      <w:r>
        <w:rPr>
          <w:rFonts w:ascii="Consolas" w:hAnsi="Consolas"/>
          <w:b w:val="0"/>
          <w:i w:val="0"/>
          <w:color w:val="1B5E8C"/>
          <w:sz w:val="19"/>
        </w:rPr>
        <w:t>sql/03_l2_analytics_dynamic_tables.sql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>Because L1 is views, nothing in L1 ever needs refreshing. A change at L0 is visible through L1 on the next query.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Data windows to keep in mind</w:t>
      </w:r>
    </w:p>
    <w:p>
      <w:pPr>
        <w:spacing w:after="120"/>
      </w:pPr>
      <w:r>
        <w:rPr>
          <w:b w:val="0"/>
          <w:i w:val="0"/>
          <w:sz w:val="20"/>
        </w:rPr>
        <w:t>The three transactional objects do not cover the same period, and a side-by-side comparison across them will mislead unless that is stated: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To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DT_JOURNAL_ENTRY_360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POSTINGDATE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2023-01-01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2025-03-28</w:t>
            </w:r>
          </w:p>
        </w:tc>
      </w:tr>
      <w:tr>
        <w:trPr>
          <w:cantSplit/>
        </w:trPr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DT_AP_AGING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POSTINGDATE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2023-01-06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2025-04-25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INVOICEDATE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2024-11-14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2026-05-07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ledger stops in March 2025. AR runs to May 2026. Any "AR vs revenue" chart covering the full AR window is comparing a populated series to an empty one for most of its length.</w:t>
      </w:r>
    </w:p>
    <w:p>
      <w:pPr>
        <w:spacing w:after="120"/>
      </w:pPr>
      <w:r>
        <w:rPr>
          <w:b w:val="0"/>
          <w:i w:val="0"/>
          <w:sz w:val="20"/>
        </w:rPr>
        <w:t>Note also that fiscal 2025 in the ledger is a partial year — 578 documents against 2,293 and 2,279 for 2023 and 2024. A year-on-year chart that does not label 2025 as partial shows a collapse that did not happen.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Editing the semantic layer</w:t>
      </w:r>
    </w:p>
    <w:p>
      <w:pPr>
        <w:spacing w:after="120"/>
      </w:pPr>
      <w:r>
        <w:rPr>
          <w:b w:val="0"/>
          <w:i w:val="0"/>
          <w:sz w:val="20"/>
        </w:rPr>
        <w:t>Which artefact to edit depends entirely on which consumer is wrong. This is the most common source of wasted time on this stack.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Consumer is wrong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Edit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app's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/api/analyst</w:t>
            </w:r>
            <w:r>
              <w:rPr>
                <w:b w:val="0"/>
                <w:sz w:val="17"/>
              </w:rPr>
              <w:t xml:space="preserve"> route (no page)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finance_360.semantic.yaml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@SAP_FINANCE_360.SEMANTIC.SEMANTIC_MODELS/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SAP_FINANCE_360_AGENT</w:t>
            </w:r>
            <w:r>
              <w:rPr>
                <w:b w:val="0"/>
                <w:sz w:val="17"/>
              </w:rPr>
              <w:t xml:space="preserve"> in Snowflake Intelligence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whichever semantic view the agent is bound to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A direct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SEMANTIC_VIEW(...)</w:t>
            </w:r>
            <w:r>
              <w:rPr>
                <w:b w:val="0"/>
                <w:sz w:val="17"/>
              </w:rPr>
              <w:t xml:space="preserve"> query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semantic view named in that query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  <w:sz w:val="20"/>
        </w:rPr>
        <w:t>The app reads the stage YAML.</w:t>
      </w:r>
      <w:r>
        <w:rPr>
          <w:b w:val="0"/>
          <w:i w:val="0"/>
          <w:sz w:val="20"/>
        </w:rPr>
        <w:t xml:space="preserve"> Editing </w:t>
      </w:r>
      <w:r>
        <w:rPr>
          <w:rFonts w:ascii="Consolas" w:hAnsi="Consolas"/>
          <w:b w:val="0"/>
          <w:i w:val="0"/>
          <w:color w:val="1B5E8C"/>
          <w:sz w:val="19"/>
        </w:rPr>
        <w:t>ANALYTICS.SAP_FINANCE_360</w:t>
      </w:r>
      <w:r>
        <w:rPr>
          <w:b w:val="0"/>
          <w:i w:val="0"/>
          <w:sz w:val="20"/>
        </w:rPr>
        <w:t xml:space="preserve"> or </w:t>
      </w:r>
      <w:r>
        <w:rPr>
          <w:rFonts w:ascii="Consolas" w:hAnsi="Consolas"/>
          <w:b w:val="0"/>
          <w:i w:val="0"/>
          <w:color w:val="1B5E8C"/>
          <w:sz w:val="19"/>
        </w:rPr>
        <w:t>SEMANTIC.SAP_FINANCE_360_ANALYTICS</w:t>
      </w:r>
      <w:r>
        <w:rPr>
          <w:b w:val="0"/>
          <w:i w:val="0"/>
          <w:sz w:val="20"/>
        </w:rPr>
        <w:t xml:space="preserve"> will not change a single answer on the app's </w:t>
      </w:r>
      <w:r>
        <w:rPr>
          <w:rFonts w:ascii="Consolas" w:hAnsi="Consolas"/>
          <w:b w:val="0"/>
          <w:i w:val="0"/>
          <w:color w:val="1B5E8C"/>
          <w:sz w:val="19"/>
        </w:rPr>
        <w:t>/api/analyst</w:t>
      </w:r>
      <w:r>
        <w:rPr>
          <w:b w:val="0"/>
          <w:i w:val="0"/>
          <w:sz w:val="20"/>
        </w:rPr>
        <w:t xml:space="preserve"> route. This was got wrong once and is worth stating twice.</w:t>
      </w:r>
    </w:p>
    <w:p>
      <w:pPr>
        <w:spacing w:after="120"/>
      </w:pPr>
      <w:r>
        <w:rPr>
          <w:b w:val="0"/>
          <w:i w:val="0"/>
          <w:sz w:val="20"/>
        </w:rPr>
        <w:t>To pull the current model down, inspect it and put it back: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get @SAP_FINANCE_360.SEMANTIC.SEMANTIC_MODELS/finance_360.semantic.yaml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file:///tmp/;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-- edit /tmp/finance_360.semantic.yaml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put file:///tmp/finance_360.semantic.yaml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@SAP_FINANCE_360.SEMANTIC.SEMANTIC_MODELS/ overwrite = true auto_compress = false;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auto_compress = false</w:t>
      </w:r>
      <w:r>
        <w:rPr>
          <w:b w:val="0"/>
          <w:i w:val="0"/>
          <w:sz w:val="20"/>
        </w:rPr>
        <w:t xml:space="preserve"> matters. Cortex Analyst reads the YAML as a file; a gzipped upload is not readable.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Deploying the 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scripts/build_and_push.sh        # build + push client and server images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scripts/migrate_data.py          # stage app data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scripts/deploy_native_app.py     # package + application from app/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scripts/create_org_listing.py    # org listing for multi-region distribution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deployed instance is at </w:t>
      </w:r>
      <w:r>
        <w:rPr>
          <w:rFonts w:ascii="Consolas" w:hAnsi="Consolas"/>
          <w:b w:val="0"/>
          <w:i w:val="0"/>
          <w:color w:val="1B5E8C"/>
          <w:sz w:val="19"/>
        </w:rPr>
        <w:t>erzht4-sfsenorthamerica-dfreriks-aws1-w2.snowflakecomputing.app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 xml:space="preserve">All application SQL lives in the server's </w:t>
      </w:r>
      <w:r>
        <w:rPr>
          <w:rFonts w:ascii="Consolas" w:hAnsi="Consolas"/>
          <w:b w:val="0"/>
          <w:i w:val="0"/>
          <w:color w:val="1B5E8C"/>
          <w:sz w:val="19"/>
        </w:rPr>
        <w:t>api.ts</w:t>
      </w:r>
      <w:r>
        <w:rPr>
          <w:b w:val="0"/>
          <w:i w:val="0"/>
          <w:sz w:val="20"/>
        </w:rPr>
        <w:t>. When adding a query, put it there rather than in the client — the one-file rule is what keeps the data-source inventory in architecture (02-architecture.md#the-app-reads-two-layers) trustworthy.</w:t>
      </w:r>
    </w:p>
    <w:p>
      <w:pPr>
        <w:spacing w:after="120"/>
      </w:pPr>
      <w:r>
        <w:rPr>
          <w:b w:val="0"/>
          <w:i w:val="0"/>
          <w:sz w:val="20"/>
        </w:rPr>
        <w:t xml:space="preserve">Remember that 21 of the app's </w:t>
      </w:r>
      <w:r>
        <w:rPr>
          <w:rFonts w:ascii="Consolas" w:hAnsi="Consolas"/>
          <w:b w:val="0"/>
          <w:i w:val="0"/>
          <w:color w:val="1B5E8C"/>
          <w:sz w:val="19"/>
        </w:rPr>
        <w:t>FROM</w:t>
      </w:r>
      <w:r>
        <w:rPr>
          <w:b w:val="0"/>
          <w:i w:val="0"/>
          <w:sz w:val="20"/>
        </w:rPr>
        <w:t xml:space="preserve"> clauses hit the L0 shares directly and do not inherit L2's sign handling. A new query written against </w:t>
      </w:r>
      <w:r>
        <w:rPr>
          <w:rFonts w:ascii="Consolas" w:hAnsi="Consolas"/>
          <w:b w:val="0"/>
          <w:i w:val="0"/>
          <w:color w:val="1B5E8C"/>
          <w:sz w:val="19"/>
        </w:rPr>
        <w:t>OPERATIONALACCTGDOCITEM</w:t>
      </w:r>
      <w:r>
        <w:rPr>
          <w:b w:val="0"/>
          <w:i w:val="0"/>
          <w:sz w:val="20"/>
        </w:rPr>
        <w:t xml:space="preserve"> needs its own </w:t>
      </w:r>
      <w:r>
        <w:rPr>
          <w:rFonts w:ascii="Consolas" w:hAnsi="Consolas"/>
          <w:b w:val="0"/>
          <w:i w:val="0"/>
          <w:color w:val="1B5E8C"/>
          <w:sz w:val="19"/>
        </w:rPr>
        <w:t>ABS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DEBITCREDITCODE</w:t>
      </w:r>
      <w:r>
        <w:rPr>
          <w:b w:val="0"/>
          <w:i w:val="0"/>
          <w:sz w:val="20"/>
        </w:rPr>
        <w:t xml:space="preserve"> filter.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Capturing screenshots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python tools/capture_shots.py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Writes nine PNGs and a </w:t>
      </w:r>
      <w:r>
        <w:rPr>
          <w:rFonts w:ascii="Consolas" w:hAnsi="Consolas"/>
          <w:b w:val="0"/>
          <w:i w:val="0"/>
          <w:color w:val="1B5E8C"/>
          <w:sz w:val="19"/>
        </w:rPr>
        <w:t>manifest.json</w:t>
      </w:r>
      <w:r>
        <w:rPr>
          <w:b w:val="0"/>
          <w:i w:val="0"/>
          <w:sz w:val="20"/>
        </w:rPr>
        <w:t xml:space="preserve"> to </w:t>
      </w:r>
      <w:r>
        <w:rPr>
          <w:rFonts w:ascii="Consolas" w:hAnsi="Consolas"/>
          <w:b w:val="0"/>
          <w:i w:val="0"/>
          <w:color w:val="1B5E8C"/>
          <w:sz w:val="19"/>
        </w:rPr>
        <w:t>/tmp/finance_shots/</w:t>
      </w:r>
      <w:r>
        <w:rPr>
          <w:b w:val="0"/>
          <w:i w:val="0"/>
          <w:sz w:val="20"/>
        </w:rPr>
        <w:t xml:space="preserve">. The manifest records which selector each page settled on, which is the useful part when a capture hangs: seven pages settle on </w:t>
      </w:r>
      <w:r>
        <w:rPr>
          <w:rFonts w:ascii="Consolas" w:hAnsi="Consolas"/>
          <w:b w:val="0"/>
          <w:i w:val="0"/>
          <w:color w:val="1B5E8C"/>
          <w:sz w:val="19"/>
        </w:rPr>
        <w:t>canvas</w:t>
      </w:r>
      <w:r>
        <w:rPr>
          <w:b w:val="0"/>
          <w:i w:val="0"/>
          <w:sz w:val="20"/>
        </w:rPr>
        <w:t xml:space="preserve">, and </w:t>
      </w:r>
      <w:r>
        <w:rPr>
          <w:b/>
          <w:i w:val="0"/>
          <w:sz w:val="20"/>
        </w:rPr>
        <w:t>BDC Sources &amp; Lineage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Ask Cortex</w:t>
      </w:r>
      <w:r>
        <w:rPr>
          <w:b w:val="0"/>
          <w:i w:val="0"/>
          <w:sz w:val="20"/>
        </w:rPr>
        <w:t xml:space="preserve"> settle on </w:t>
      </w:r>
      <w:r>
        <w:rPr>
          <w:rFonts w:ascii="Consolas" w:hAnsi="Consolas"/>
          <w:b w:val="0"/>
          <w:i w:val="0"/>
          <w:color w:val="1B5E8C"/>
          <w:sz w:val="19"/>
        </w:rPr>
        <w:t>[class*=card]</w:t>
      </w:r>
      <w:r>
        <w:rPr>
          <w:b w:val="0"/>
          <w:i w:val="0"/>
          <w:sz w:val="20"/>
        </w:rPr>
        <w:t xml:space="preserve"> because they contain no chart.</w:t>
      </w:r>
    </w:p>
    <w:p>
      <w:pPr>
        <w:spacing w:after="120"/>
      </w:pPr>
      <w:r>
        <w:rPr>
          <w:b w:val="0"/>
          <w:i w:val="0"/>
          <w:sz w:val="20"/>
        </w:rPr>
        <w:t xml:space="preserve">If a capture of one of those two pages times out, the settle selector has regressed to a global </w:t>
      </w:r>
      <w:r>
        <w:rPr>
          <w:rFonts w:ascii="Consolas" w:hAnsi="Consolas"/>
          <w:b w:val="0"/>
          <w:i w:val="0"/>
          <w:color w:val="1B5E8C"/>
          <w:sz w:val="19"/>
        </w:rPr>
        <w:t>canvas</w:t>
      </w:r>
      <w:r>
        <w:rPr>
          <w:b w:val="0"/>
          <w:i w:val="0"/>
          <w:sz w:val="20"/>
        </w:rPr>
        <w:t xml:space="preserve"> wait.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Extracting the facts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python tools/finance_facts.py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Writes the verified figures with a provenance entry for each — the query or metadata view the number came from. Every figure in this handbook traces back to that output.</w:t>
      </w:r>
    </w:p>
    <w:p>
      <w:pPr>
        <w:spacing w:after="120"/>
      </w:pPr>
      <w:r>
        <w:rPr>
          <w:b w:val="0"/>
          <w:i w:val="0"/>
          <w:sz w:val="20"/>
        </w:rPr>
        <w:t>Regenerate it before editing documentation rather than after. Writing prose first and then checking the numbers is how the stale-figure problem starts.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Word versions of the documentation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python tools/build_docs_docx.py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Renders each of </w:t>
      </w:r>
      <w:r>
        <w:rPr>
          <w:rFonts w:ascii="Consolas" w:hAnsi="Consolas"/>
          <w:b w:val="0"/>
          <w:i w:val="0"/>
          <w:color w:val="1B5E8C"/>
          <w:sz w:val="19"/>
        </w:rPr>
        <w:t>docs/01-*.md</w:t>
      </w:r>
      <w:r>
        <w:rPr>
          <w:b w:val="0"/>
          <w:i w:val="0"/>
          <w:sz w:val="20"/>
        </w:rPr>
        <w:t xml:space="preserve"> through </w:t>
      </w:r>
      <w:r>
        <w:rPr>
          <w:rFonts w:ascii="Consolas" w:hAnsi="Consolas"/>
          <w:b w:val="0"/>
          <w:i w:val="0"/>
          <w:color w:val="1B5E8C"/>
          <w:sz w:val="19"/>
        </w:rPr>
        <w:t>docs/08-*.md</w:t>
      </w:r>
      <w:r>
        <w:rPr>
          <w:b w:val="0"/>
          <w:i w:val="0"/>
          <w:sz w:val="20"/>
        </w:rPr>
        <w:t xml:space="preserve"> as a branded </w:t>
      </w:r>
      <w:r>
        <w:rPr>
          <w:rFonts w:ascii="Consolas" w:hAnsi="Consolas"/>
          <w:b w:val="0"/>
          <w:i w:val="0"/>
          <w:color w:val="1B5E8C"/>
          <w:sz w:val="19"/>
        </w:rPr>
        <w:t>.docx</w:t>
      </w:r>
      <w:r>
        <w:rPr>
          <w:b w:val="0"/>
          <w:i w:val="0"/>
          <w:sz w:val="20"/>
        </w:rPr>
        <w:t xml:space="preserve"> and emits a combined handbook with a contents page, into </w:t>
      </w:r>
      <w:r>
        <w:rPr>
          <w:rFonts w:ascii="Consolas" w:hAnsi="Consolas"/>
          <w:b w:val="0"/>
          <w:i w:val="0"/>
          <w:color w:val="1B5E8C"/>
          <w:sz w:val="19"/>
        </w:rPr>
        <w:t>docs/docx/</w:t>
      </w:r>
      <w:r>
        <w:rPr>
          <w:b w:val="0"/>
          <w:i w:val="0"/>
          <w:sz w:val="20"/>
        </w:rPr>
        <w:t xml:space="preserve"> — </w:t>
      </w:r>
      <w:r>
        <w:rPr>
          <w:b/>
          <w:i w:val="0"/>
          <w:sz w:val="20"/>
        </w:rPr>
        <w:t>9 files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 w:val="0"/>
          <w:i w:val="0"/>
          <w:sz w:val="20"/>
        </w:rPr>
        <w:t>The renderer is bespoke rather than pandoc because the output has to match the existing Word and PowerPoint deliverables in this repository: same palette, same page setup, same navy table headers. A generic converter loses all of that.</w:t>
      </w:r>
    </w:p>
    <w:p>
      <w:pPr>
        <w:spacing w:after="120"/>
      </w:pPr>
      <w:r>
        <w:rPr>
          <w:b w:val="0"/>
          <w:i w:val="0"/>
          <w:sz w:val="20"/>
        </w:rPr>
        <w:t xml:space="preserve">It shares </w:t>
      </w:r>
      <w:r>
        <w:rPr>
          <w:rFonts w:ascii="Consolas" w:hAnsi="Consolas"/>
          <w:b w:val="0"/>
          <w:i w:val="0"/>
          <w:color w:val="1B5E8C"/>
          <w:sz w:val="19"/>
        </w:rPr>
        <w:t>tools/sap_docx_kit.py</w:t>
      </w:r>
      <w:r>
        <w:rPr>
          <w:b w:val="0"/>
          <w:i w:val="0"/>
          <w:sz w:val="20"/>
        </w:rPr>
        <w:t xml:space="preserve"> with the management summary and presales kit, through the </w:t>
      </w:r>
      <w:r>
        <w:rPr>
          <w:rFonts w:ascii="Consolas" w:hAnsi="Consolas"/>
          <w:b w:val="0"/>
          <w:i w:val="0"/>
          <w:color w:val="1B5E8C"/>
          <w:sz w:val="19"/>
        </w:rPr>
        <w:t>tools/docx_kit.py</w:t>
      </w:r>
      <w:r>
        <w:rPr>
          <w:b w:val="0"/>
          <w:i w:val="0"/>
          <w:sz w:val="20"/>
        </w:rPr>
        <w:t xml:space="preserve"> shim. Edit </w:t>
      </w:r>
      <w:r>
        <w:rPr>
          <w:rFonts w:ascii="Consolas" w:hAnsi="Consolas"/>
          <w:b w:val="0"/>
          <w:i w:val="0"/>
          <w:color w:val="1B5E8C"/>
          <w:sz w:val="19"/>
        </w:rPr>
        <w:t>sap_docx_kit.py</w:t>
      </w:r>
      <w:r>
        <w:rPr>
          <w:b w:val="0"/>
          <w:i w:val="0"/>
          <w:sz w:val="20"/>
        </w:rPr>
        <w:t>, never the shim.</w:t>
      </w:r>
    </w:p>
    <w:p>
      <w:pPr>
        <w:spacing w:after="120"/>
      </w:pPr>
      <w:r>
        <w:rPr>
          <w:b w:val="0"/>
          <w:i w:val="0"/>
          <w:sz w:val="20"/>
        </w:rPr>
        <w:t xml:space="preserve">One behaviour to preserve if you touch the markdown parser: </w:t>
      </w:r>
      <w:r>
        <w:rPr>
          <w:b/>
          <w:i w:val="0"/>
          <w:sz w:val="20"/>
        </w:rPr>
        <w:t>table rows are accepted with or without leading and trailing pipes.</w:t>
      </w:r>
      <w:r>
        <w:rPr>
          <w:b w:val="0"/>
          <w:i w:val="0"/>
          <w:sz w:val="20"/>
        </w:rPr>
        <w:t xml:space="preserve"> GFM does not require them, this doc set omits them in many places, and a parser that insists on them drops those rows silently rather than failing.</w:t>
      </w:r>
    </w:p>
    <w:p>
      <w:pPr>
        <w:spacing w:after="120"/>
      </w:pPr>
      <w:r>
        <w:rPr>
          <w:b w:val="0"/>
          <w:i w:val="0"/>
          <w:sz w:val="20"/>
        </w:rPr>
        <w:t xml:space="preserve">The </w:t>
      </w:r>
      <w:r>
        <w:rPr>
          <w:rFonts w:ascii="Consolas" w:hAnsi="Consolas"/>
          <w:b w:val="0"/>
          <w:i w:val="0"/>
          <w:color w:val="1B5E8C"/>
          <w:sz w:val="19"/>
        </w:rPr>
        <w:t>.docx</w:t>
      </w:r>
      <w:r>
        <w:rPr>
          <w:b w:val="0"/>
          <w:i w:val="0"/>
          <w:sz w:val="20"/>
        </w:rPr>
        <w:t xml:space="preserve"> files are generated. Edit the markdown.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Troubleshooting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Cause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 view creation fails on grants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the running role cannot see the L0 shares; check the three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SAP_BDC_DEMO_*</w:t>
            </w:r>
            <w:r>
              <w:rPr>
                <w:b w:val="0"/>
                <w:sz w:val="17"/>
              </w:rPr>
              <w:t xml:space="preserve"> databases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 creation fails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no warehouse named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LOAD_WH</w:t>
            </w:r>
            <w:r>
              <w:rPr>
                <w:b w:val="0"/>
                <w:sz w:val="17"/>
              </w:rPr>
              <w:t xml:space="preserve">; edit the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WAREHOUSE</w:t>
            </w:r>
            <w:r>
              <w:rPr>
                <w:b w:val="0"/>
                <w:sz w:val="17"/>
              </w:rPr>
              <w:t xml:space="preserve"> clause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SHOW DYNAMIC TABLES</w:t>
            </w:r>
            <w:r>
              <w:rPr>
                <w:b w:val="0"/>
                <w:sz w:val="17"/>
              </w:rPr>
              <w:t xml:space="preserve"> returns 7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  <w:r>
              <w:rPr>
                <w:b w:val="0"/>
                <w:sz w:val="17"/>
              </w:rPr>
              <w:t xml:space="preserve"> has been recreated as dynamic; it is meant to be a plain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No refresh history for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DT_AR_AGING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correct — it is not a 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Revenue does not tie to $2,250,872,386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missing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ABS</w:t>
            </w:r>
            <w:r>
              <w:rPr>
                <w:b w:val="0"/>
                <w:sz w:val="17"/>
              </w:rPr>
              <w:t xml:space="preserve">, or the wrong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DEBITCREDITCODE</w:t>
            </w:r>
            <w:r>
              <w:rPr>
                <w:b w:val="0"/>
                <w:sz w:val="17"/>
              </w:rPr>
              <w:t xml:space="preserve"> side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total looks too small by roughly half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signed amounts summed without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ABS</w:t>
            </w:r>
            <w:r>
              <w:rPr>
                <w:b w:val="0"/>
                <w:sz w:val="17"/>
              </w:rPr>
              <w:t>, so debits cancelled credits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answers unchanged after editing a semantic view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the app reads the stage YAML, not the views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cannot answer an AP, GL-balance or P&amp;L question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those three L2 tables are not in the model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picks an odd table for a clear question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 verified queries — there is nothing steering it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Screenshot capture hangs on BDC Sources &amp; Lineage or Ask Cortex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those pages have no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canvas</w:t>
            </w:r>
            <w:r>
              <w:rPr>
                <w:b w:val="0"/>
                <w:sz w:val="17"/>
              </w:rPr>
              <w:t xml:space="preserve">; settle on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[class*=card]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A markdown table row is missing from the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.docx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 pipe-stripping regression in the table parser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2025 looks like a collapse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fiscal 2025 is partial: 578 documents, ledger ends 2025-03-28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