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color w:val="29B5E8"/>
          <w:sz w:val="26"/>
        </w:rPr>
        <w:t>SAP BDC Finance 360</w:t>
      </w:r>
    </w:p>
    <w:p>
      <w:pPr>
        <w:spacing w:after="40"/>
      </w:pPr>
      <w:r>
        <w:rPr>
          <w:b/>
          <w:color w:val="1B3A57"/>
          <w:sz w:val="44"/>
        </w:rPr>
        <w:t>Findings</w:t>
      </w:r>
    </w:p>
    <w:p>
      <w:pPr>
        <w:spacing w:after="280"/>
      </w:pPr>
      <w:r>
        <w:rPr>
          <w:color w:val="5A6A7A"/>
          <w:sz w:val="19"/>
        </w:rPr>
        <w:t>Generated from docs/05-findings.md  ·  part 05</w:t>
      </w:r>
    </w:p>
    <w:p>
      <w:pPr>
        <w:spacing w:after="120"/>
      </w:pPr>
      <w:r>
        <w:rPr>
          <w:b w:val="0"/>
          <w:i w:val="0"/>
          <w:sz w:val="20"/>
        </w:rPr>
        <w:t>Things that were not obvious, that cost time, and that anyone building or presenting this stack should know. Four are properties of the data or the objects; two are gaps in the AI layer that are still open.</w:t>
      </w:r>
    </w:p>
    <w:p>
      <w:pPr>
        <w:spacing w:after="120"/>
      </w:pPr>
      <w:r>
        <w:rPr>
          <w:b w:val="0"/>
          <w:i w:val="0"/>
          <w:sz w:val="20"/>
        </w:rPr>
        <w:t>All figures verified 2026-09-21.</w:t>
      </w:r>
    </w:p>
    <w:p>
      <w:pPr>
        <w:spacing w:before="80" w:after="160"/>
        <w:jc w:val="center"/>
      </w:pPr>
      <w:r>
        <w:rPr>
          <w:color w:val="C8D4DE"/>
          <w:sz w:val="12"/>
        </w:rPr>
        <w:t>──────────────────────────────────────────────────────────</w:t>
      </w:r>
    </w:p>
    <w:p>
      <w:pPr>
        <w:keepNext/>
        <w:spacing w:before="240" w:after="60"/>
        <w:outlineLvl w:val="1"/>
      </w:pPr>
      <w:r>
        <w:rPr>
          <w:b/>
          <w:color w:val="1B3A57"/>
          <w:sz w:val="23"/>
        </w:rPr>
        <w:t>SAP amounts are signed, and the first answer is always wrong</w:t>
      </w:r>
    </w:p>
    <w:p>
      <w:pPr>
        <w:spacing w:after="120"/>
      </w:pPr>
      <w:r>
        <w:rPr>
          <w:b w:val="0"/>
          <w:i w:val="0"/>
          <w:sz w:val="20"/>
        </w:rPr>
        <w:t xml:space="preserve">In </w:t>
      </w:r>
      <w:r>
        <w:rPr>
          <w:rFonts w:ascii="Consolas" w:hAnsi="Consolas"/>
          <w:b w:val="0"/>
          <w:i w:val="0"/>
          <w:color w:val="1B5E8C"/>
          <w:sz w:val="19"/>
        </w:rPr>
        <w:t>OPERATIONALACCTGDOCITEM</w:t>
      </w:r>
      <w:r>
        <w:rPr>
          <w:b w:val="0"/>
          <w:i w:val="0"/>
          <w:sz w:val="20"/>
        </w:rPr>
        <w:t xml:space="preserve"> the amount column carries the posting's natural sign and the debit/credit character sits separately in </w:t>
      </w:r>
      <w:r>
        <w:rPr>
          <w:rFonts w:ascii="Consolas" w:hAnsi="Consolas"/>
          <w:b w:val="0"/>
          <w:i w:val="0"/>
          <w:color w:val="1B5E8C"/>
          <w:sz w:val="19"/>
        </w:rPr>
        <w:t>DEBITCREDITCODE</w:t>
      </w:r>
      <w:r>
        <w:rPr>
          <w:b w:val="0"/>
          <w:i w:val="0"/>
          <w:sz w:val="20"/>
        </w:rPr>
        <w:t>. A revenue credit and an expense debit occupy the same column with opposing signs.</w:t>
      </w:r>
    </w:p>
    <w:p>
      <w:pPr>
        <w:spacing w:after="120"/>
      </w:pPr>
      <w:r>
        <w:rPr>
          <w:b w:val="0"/>
          <w:i w:val="0"/>
          <w:sz w:val="20"/>
        </w:rPr>
        <w:t xml:space="preserve">A bare </w:t>
      </w:r>
      <w:r>
        <w:rPr>
          <w:rFonts w:ascii="Consolas" w:hAnsi="Consolas"/>
          <w:b w:val="0"/>
          <w:i w:val="0"/>
          <w:color w:val="1B5E8C"/>
          <w:sz w:val="19"/>
        </w:rPr>
        <w:t>SUM(amount)</w:t>
      </w:r>
      <w:r>
        <w:rPr>
          <w:b w:val="0"/>
          <w:i w:val="0"/>
          <w:sz w:val="20"/>
        </w:rPr>
        <w:t xml:space="preserve"> therefore returns neither revenue nor expense nor the difference between them. It returns a number that depends on the debit/credit mix inside the filter — which means it moves when you change the date range in ways that look like a business trend and are not.</w:t>
      </w:r>
    </w:p>
    <w:p>
      <w:pPr>
        <w:spacing w:after="120"/>
      </w:pPr>
      <w:r>
        <w:rPr>
          <w:b w:val="0"/>
          <w:i w:val="0"/>
          <w:sz w:val="20"/>
        </w:rPr>
        <w:t xml:space="preserve">Correct aggregation needs </w:t>
      </w:r>
      <w:r>
        <w:rPr>
          <w:rFonts w:ascii="Consolas" w:hAnsi="Consolas"/>
          <w:b/>
          <w:i w:val="0"/>
          <w:color w:val="1B5E8C"/>
          <w:sz w:val="19"/>
        </w:rPr>
        <w:t>ABS</w:t>
      </w:r>
      <w:r>
        <w:rPr>
          <w:b/>
          <w:i w:val="0"/>
          <w:sz w:val="20"/>
        </w:rPr>
        <w:t xml:space="preserve"> on the amount plus a </w:t>
      </w:r>
      <w:r>
        <w:rPr>
          <w:rFonts w:ascii="Consolas" w:hAnsi="Consolas"/>
          <w:b/>
          <w:i w:val="0"/>
          <w:color w:val="1B5E8C"/>
          <w:sz w:val="19"/>
        </w:rPr>
        <w:t>DEBITCREDITCODE</w:t>
      </w:r>
      <w:r>
        <w:rPr>
          <w:b/>
          <w:i w:val="0"/>
          <w:sz w:val="20"/>
        </w:rPr>
        <w:t xml:space="preserve"> filter</w:t>
      </w:r>
      <w:r>
        <w:rPr>
          <w:b w:val="0"/>
          <w:i w:val="0"/>
          <w:sz w:val="20"/>
        </w:rPr>
        <w:t xml:space="preserve"> selecting the side you mean. Both, not either.</w:t>
      </w:r>
    </w:p>
    <w:p>
      <w:pPr>
        <w:spacing w:after="120"/>
      </w:pPr>
      <w:r>
        <w:rPr>
          <w:b w:val="0"/>
          <w:i w:val="0"/>
          <w:sz w:val="20"/>
        </w:rPr>
        <w:t>This is the single most consequential fact in the stack, and it is invisible: the wrong query succeeds, returns a plausible magnitude, and no error is raised.</w:t>
      </w:r>
    </w:p>
    <w:p>
      <w:pPr>
        <w:spacing w:after="120"/>
      </w:pPr>
      <w:r>
        <w:rPr>
          <w:b w:val="0"/>
          <w:i w:val="0"/>
          <w:sz w:val="20"/>
        </w:rPr>
        <w:t xml:space="preserve">L2 applies the pattern once, inside </w:t>
      </w:r>
      <w:r>
        <w:rPr>
          <w:rFonts w:ascii="Consolas" w:hAnsi="Consolas"/>
          <w:b w:val="0"/>
          <w:i w:val="0"/>
          <w:color w:val="1B5E8C"/>
          <w:sz w:val="19"/>
        </w:rPr>
        <w:t>DT_JOURNAL_ENTRY_360</w:t>
      </w:r>
      <w:r>
        <w:rPr>
          <w:b w:val="0"/>
          <w:i w:val="0"/>
          <w:sz w:val="20"/>
        </w:rPr>
        <w:t>, so the five aggregates inherit it. Application SQL against the L0 shares does not inherit it — see the app straddles two layers (#the-app-straddles-two-layers).</w:t>
      </w:r>
    </w:p>
    <w:p>
      <w:pPr>
        <w:spacing w:before="80" w:after="160"/>
        <w:jc w:val="center"/>
      </w:pPr>
      <w:r>
        <w:rPr>
          <w:color w:val="C8D4DE"/>
          <w:sz w:val="12"/>
        </w:rPr>
        <w:t>──────────────────────────────────────────────────────────</w:t>
      </w:r>
    </w:p>
    <w:p>
      <w:pPr>
        <w:keepNext/>
        <w:spacing w:before="240" w:after="60"/>
        <w:outlineLvl w:val="1"/>
      </w:pPr>
      <w:r>
        <w:rPr>
          <w:b/>
          <w:color w:val="1B3A57"/>
          <w:sz w:val="23"/>
        </w:rPr>
        <w:t>The reconciliation is exact, and that is the evidence</w:t>
      </w:r>
    </w:p>
    <w:p>
      <w:pPr>
        <w:spacing w:after="120"/>
      </w:pPr>
      <w:r>
        <w:rPr>
          <w:b w:val="0"/>
          <w:i w:val="0"/>
          <w:sz w:val="20"/>
        </w:rPr>
        <w:t xml:space="preserve">Revenue computed from L0 with </w:t>
      </w:r>
      <w:r>
        <w:rPr>
          <w:rFonts w:ascii="Consolas" w:hAnsi="Consolas"/>
          <w:b w:val="0"/>
          <w:i w:val="0"/>
          <w:color w:val="1B5E8C"/>
          <w:sz w:val="19"/>
        </w:rPr>
        <w:t>ABS</w:t>
      </w:r>
      <w:r>
        <w:rPr>
          <w:b w:val="0"/>
          <w:i w:val="0"/>
          <w:sz w:val="20"/>
        </w:rPr>
        <w:t xml:space="preserve"> and a </w:t>
      </w:r>
      <w:r>
        <w:rPr>
          <w:rFonts w:ascii="Consolas" w:hAnsi="Consolas"/>
          <w:b w:val="0"/>
          <w:i w:val="0"/>
          <w:color w:val="1B5E8C"/>
          <w:sz w:val="19"/>
        </w:rPr>
        <w:t>DEBITCREDITCODE</w:t>
      </w:r>
      <w:r>
        <w:rPr>
          <w:b w:val="0"/>
          <w:i w:val="0"/>
          <w:sz w:val="20"/>
        </w:rPr>
        <w:t xml:space="preserve"> filter, against revenue reported by L2:</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Side</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 xml:space="preserve">L0 </w:t>
            </w:r>
            <w:r>
              <w:rPr>
                <w:rFonts w:ascii="Consolas" w:hAnsi="Consolas"/>
                <w:b w:val="0"/>
                <w:color w:val="1B5E8C"/>
                <w:sz w:val="16"/>
              </w:rPr>
              <w:t>OPERATIONALACCTGDOCITEM</w:t>
            </w:r>
          </w:p>
        </w:tc>
        <w:tc>
          <w:tcPr>
            <w:tcW w:type="dxa" w:w="7056"/>
          </w:tcPr>
          <w:p>
            <w:pPr>
              <w:spacing w:after="20"/>
            </w:pPr>
            <w:r/>
            <w:r>
              <w:rPr>
                <w:b w:val="0"/>
                <w:sz w:val="17"/>
              </w:rPr>
              <w:t>$2,250,872,386</w:t>
            </w:r>
          </w:p>
        </w:tc>
      </w:tr>
      <w:tr>
        <w:trPr>
          <w:cantSplit/>
        </w:trPr>
        <w:tc>
          <w:tcPr>
            <w:tcW w:type="dxa" w:w="2880"/>
            <w:shd w:val="clear" w:fill="EEF4F8"/>
          </w:tcPr>
          <w:p>
            <w:pPr>
              <w:spacing w:after="20"/>
            </w:pPr>
            <w:r/>
            <w:r>
              <w:rPr>
                <w:b w:val="0"/>
                <w:sz w:val="17"/>
              </w:rPr>
              <w:t xml:space="preserve">L2 </w:t>
            </w:r>
            <w:r>
              <w:rPr>
                <w:rFonts w:ascii="Consolas" w:hAnsi="Consolas"/>
                <w:b w:val="0"/>
                <w:color w:val="1B5E8C"/>
                <w:sz w:val="16"/>
              </w:rPr>
              <w:t>SUM(REVENUE)</w:t>
            </w:r>
            <w:r>
              <w:rPr>
                <w:b w:val="0"/>
                <w:sz w:val="17"/>
              </w:rPr>
              <w:t xml:space="preserve"> over </w:t>
            </w:r>
            <w:r>
              <w:rPr>
                <w:rFonts w:ascii="Consolas" w:hAnsi="Consolas"/>
                <w:b w:val="0"/>
                <w:color w:val="1B5E8C"/>
                <w:sz w:val="16"/>
              </w:rPr>
              <w:t>DT_PNL_SUMMARY</w:t>
            </w:r>
          </w:p>
        </w:tc>
        <w:tc>
          <w:tcPr>
            <w:tcW w:type="dxa" w:w="7056"/>
            <w:shd w:val="clear" w:fill="EEF4F8"/>
          </w:tcPr>
          <w:p>
            <w:pPr>
              <w:spacing w:after="20"/>
            </w:pPr>
            <w:r/>
            <w:r>
              <w:rPr>
                <w:b w:val="0"/>
                <w:sz w:val="17"/>
              </w:rPr>
              <w:t>$2,250,872,386</w:t>
            </w:r>
          </w:p>
        </w:tc>
      </w:tr>
      <w:tr>
        <w:trPr>
          <w:cantSplit/>
        </w:trPr>
        <w:tc>
          <w:tcPr>
            <w:tcW w:type="dxa" w:w="2880"/>
          </w:tcPr>
          <w:p>
            <w:pPr>
              <w:spacing w:after="20"/>
            </w:pPr>
            <w:r/>
            <w:r>
              <w:rPr>
                <w:b w:val="0"/>
                <w:sz w:val="17"/>
              </w:rPr>
              <w:t>Difference</w:t>
            </w:r>
          </w:p>
        </w:tc>
        <w:tc>
          <w:tcPr>
            <w:tcW w:type="dxa" w:w="7056"/>
          </w:tcPr>
          <w:p>
            <w:pPr>
              <w:spacing w:after="20"/>
            </w:pPr>
            <w:r/>
            <w:r>
              <w:rPr>
                <w:b/>
                <w:sz w:val="17"/>
              </w:rPr>
              <w:t>$0</w:t>
            </w:r>
          </w:p>
        </w:tc>
      </w:tr>
    </w:tbl>
    <w:p>
      <w:pPr>
        <w:spacing w:after="80"/>
      </w:pPr>
    </w:p>
    <w:p>
      <w:pPr>
        <w:spacing w:after="120"/>
      </w:pPr>
      <w:r>
        <w:rPr>
          <w:b w:val="0"/>
          <w:i w:val="0"/>
          <w:sz w:val="20"/>
        </w:rPr>
        <w:t>Not "within rounding" — identical to the dollar. That is what makes the sign handling defensible rather than merely asserted, and it is the check to run after any change to L1 or L2.</w:t>
      </w:r>
    </w:p>
    <w:p>
      <w:pPr>
        <w:spacing w:after="120"/>
      </w:pPr>
      <w:r>
        <w:rPr>
          <w:b w:val="0"/>
          <w:i w:val="0"/>
          <w:sz w:val="20"/>
        </w:rPr>
        <w:t>The same total falls out of the per-year detail, which is a second independent path to it:</w:t>
      </w:r>
    </w:p>
    <w:tbl>
      <w:tblPr>
        <w:tblStyle w:val="TableGrid"/>
        <w:tblW w:type="auto" w:w="0"/>
        <w:jc w:val="left"/>
        <w:tblLayout w:type="fixed"/>
        <w:tblLook w:firstColumn="1" w:firstRow="1" w:lastColumn="0" w:lastRow="0" w:noHBand="0" w:noVBand="1" w:val="04A0"/>
        <w:tblLayout w:type="fixed"/>
      </w:tblPr>
      <w:tblGrid>
        <w:gridCol w:w="1656"/>
        <w:gridCol w:w="1655"/>
        <w:gridCol w:w="1655"/>
        <w:gridCol w:w="1655"/>
        <w:gridCol w:w="1655"/>
        <w:gridCol w:w="1655"/>
      </w:tblGrid>
      <w:tr>
        <w:trPr>
          <w:cantSplit/>
          <w:tblHeader/>
        </w:trPr>
        <w:tc>
          <w:tcPr>
            <w:tcW w:type="dxa" w:w="1656"/>
            <w:shd w:val="clear" w:fill="1B3A57"/>
          </w:tcPr>
          <w:p>
            <w:pPr>
              <w:spacing w:after="20"/>
            </w:pPr>
            <w:r/>
            <w:r>
              <w:rPr>
                <w:b/>
                <w:color w:val="FFFFFF"/>
                <w:sz w:val="17"/>
              </w:rPr>
              <w:t>Fiscal year</w:t>
            </w:r>
          </w:p>
        </w:tc>
        <w:tc>
          <w:tcPr>
            <w:tcW w:type="dxa" w:w="1656"/>
            <w:shd w:val="clear" w:fill="1B3A57"/>
          </w:tcPr>
          <w:p>
            <w:pPr>
              <w:spacing w:after="20"/>
            </w:pPr>
            <w:r/>
            <w:r>
              <w:rPr>
                <w:b/>
                <w:color w:val="FFFFFF"/>
                <w:sz w:val="17"/>
              </w:rPr>
              <w:t>Revenue</w:t>
            </w:r>
          </w:p>
        </w:tc>
        <w:tc>
          <w:tcPr>
            <w:tcW w:type="dxa" w:w="1656"/>
            <w:shd w:val="clear" w:fill="1B3A57"/>
          </w:tcPr>
          <w:p>
            <w:pPr>
              <w:spacing w:after="20"/>
            </w:pPr>
            <w:r/>
            <w:r>
              <w:rPr>
                <w:b/>
                <w:color w:val="FFFFFF"/>
                <w:sz w:val="17"/>
              </w:rPr>
              <w:t>Expenses</w:t>
            </w:r>
          </w:p>
        </w:tc>
        <w:tc>
          <w:tcPr>
            <w:tcW w:type="dxa" w:w="1656"/>
            <w:shd w:val="clear" w:fill="1B3A57"/>
          </w:tcPr>
          <w:p>
            <w:pPr>
              <w:spacing w:after="20"/>
            </w:pPr>
            <w:r/>
            <w:r>
              <w:rPr>
                <w:b/>
                <w:color w:val="FFFFFF"/>
                <w:sz w:val="17"/>
              </w:rPr>
              <w:t>Net income</w:t>
            </w:r>
          </w:p>
        </w:tc>
        <w:tc>
          <w:tcPr>
            <w:tcW w:type="dxa" w:w="1656"/>
            <w:shd w:val="clear" w:fill="1B3A57"/>
          </w:tcPr>
          <w:p>
            <w:pPr>
              <w:spacing w:after="20"/>
            </w:pPr>
            <w:r/>
            <w:r>
              <w:rPr>
                <w:b/>
                <w:color w:val="FFFFFF"/>
                <w:sz w:val="17"/>
              </w:rPr>
              <w:t>Margin</w:t>
            </w:r>
          </w:p>
        </w:tc>
        <w:tc>
          <w:tcPr>
            <w:tcW w:type="dxa" w:w="1656"/>
            <w:shd w:val="clear" w:fill="1B3A57"/>
          </w:tcPr>
          <w:p>
            <w:pPr>
              <w:spacing w:after="20"/>
            </w:pPr>
            <w:r/>
            <w:r>
              <w:rPr>
                <w:b/>
                <w:color w:val="FFFFFF"/>
                <w:sz w:val="17"/>
              </w:rPr>
              <w:t>Documents</w:t>
            </w:r>
          </w:p>
        </w:tc>
      </w:tr>
      <w:tr>
        <w:trPr>
          <w:cantSplit/>
        </w:trPr>
        <w:tc>
          <w:tcPr>
            <w:tcW w:type="dxa" w:w="1656"/>
          </w:tcPr>
          <w:p>
            <w:pPr>
              <w:spacing w:after="20"/>
            </w:pPr>
            <w:r/>
            <w:r>
              <w:rPr>
                <w:b w:val="0"/>
                <w:sz w:val="17"/>
              </w:rPr>
              <w:t>2023</w:t>
            </w:r>
          </w:p>
        </w:tc>
        <w:tc>
          <w:tcPr>
            <w:tcW w:type="dxa" w:w="1656"/>
          </w:tcPr>
          <w:p>
            <w:pPr>
              <w:spacing w:after="20"/>
            </w:pPr>
            <w:r/>
            <w:r>
              <w:rPr>
                <w:b w:val="0"/>
                <w:sz w:val="17"/>
              </w:rPr>
              <w:t>$968,827,521</w:t>
            </w:r>
          </w:p>
        </w:tc>
        <w:tc>
          <w:tcPr>
            <w:tcW w:type="dxa" w:w="1656"/>
          </w:tcPr>
          <w:p>
            <w:pPr>
              <w:spacing w:after="20"/>
            </w:pPr>
            <w:r/>
            <w:r>
              <w:rPr>
                <w:b w:val="0"/>
                <w:sz w:val="17"/>
              </w:rPr>
              <w:t>$726,047,817</w:t>
            </w:r>
          </w:p>
        </w:tc>
        <w:tc>
          <w:tcPr>
            <w:tcW w:type="dxa" w:w="1656"/>
          </w:tcPr>
          <w:p>
            <w:pPr>
              <w:spacing w:after="20"/>
            </w:pPr>
            <w:r/>
            <w:r>
              <w:rPr>
                <w:b w:val="0"/>
                <w:sz w:val="17"/>
              </w:rPr>
              <w:t>$242,779,704</w:t>
            </w:r>
          </w:p>
        </w:tc>
        <w:tc>
          <w:tcPr>
            <w:tcW w:type="dxa" w:w="1656"/>
          </w:tcPr>
          <w:p>
            <w:pPr>
              <w:spacing w:after="20"/>
            </w:pPr>
            <w:r/>
            <w:r>
              <w:rPr>
                <w:b w:val="0"/>
                <w:sz w:val="17"/>
              </w:rPr>
              <w:t>25.1%</w:t>
            </w:r>
          </w:p>
        </w:tc>
        <w:tc>
          <w:tcPr>
            <w:tcW w:type="dxa" w:w="1656"/>
          </w:tcPr>
          <w:p>
            <w:pPr>
              <w:spacing w:after="20"/>
            </w:pPr>
            <w:r/>
            <w:r>
              <w:rPr>
                <w:b w:val="0"/>
                <w:sz w:val="17"/>
              </w:rPr>
              <w:t>2,293</w:t>
            </w:r>
          </w:p>
        </w:tc>
      </w:tr>
      <w:tr>
        <w:trPr>
          <w:cantSplit/>
        </w:trPr>
        <w:tc>
          <w:tcPr>
            <w:tcW w:type="dxa" w:w="1656"/>
            <w:shd w:val="clear" w:fill="EEF4F8"/>
          </w:tcPr>
          <w:p>
            <w:pPr>
              <w:spacing w:after="20"/>
            </w:pPr>
            <w:r/>
            <w:r>
              <w:rPr>
                <w:b w:val="0"/>
                <w:sz w:val="17"/>
              </w:rPr>
              <w:t>2024</w:t>
            </w:r>
          </w:p>
        </w:tc>
        <w:tc>
          <w:tcPr>
            <w:tcW w:type="dxa" w:w="1656"/>
            <w:shd w:val="clear" w:fill="EEF4F8"/>
          </w:tcPr>
          <w:p>
            <w:pPr>
              <w:spacing w:after="20"/>
            </w:pPr>
            <w:r/>
            <w:r>
              <w:rPr>
                <w:b w:val="0"/>
                <w:sz w:val="17"/>
              </w:rPr>
              <w:t>$1,058,670,317</w:t>
            </w:r>
          </w:p>
        </w:tc>
        <w:tc>
          <w:tcPr>
            <w:tcW w:type="dxa" w:w="1656"/>
            <w:shd w:val="clear" w:fill="EEF4F8"/>
          </w:tcPr>
          <w:p>
            <w:pPr>
              <w:spacing w:after="20"/>
            </w:pPr>
            <w:r/>
            <w:r>
              <w:rPr>
                <w:b w:val="0"/>
                <w:sz w:val="17"/>
              </w:rPr>
              <w:t>$775,866,912</w:t>
            </w:r>
          </w:p>
        </w:tc>
        <w:tc>
          <w:tcPr>
            <w:tcW w:type="dxa" w:w="1656"/>
            <w:shd w:val="clear" w:fill="EEF4F8"/>
          </w:tcPr>
          <w:p>
            <w:pPr>
              <w:spacing w:after="20"/>
            </w:pPr>
            <w:r/>
            <w:r>
              <w:rPr>
                <w:b w:val="0"/>
                <w:sz w:val="17"/>
              </w:rPr>
              <w:t>$282,803,405</w:t>
            </w:r>
          </w:p>
        </w:tc>
        <w:tc>
          <w:tcPr>
            <w:tcW w:type="dxa" w:w="1656"/>
            <w:shd w:val="clear" w:fill="EEF4F8"/>
          </w:tcPr>
          <w:p>
            <w:pPr>
              <w:spacing w:after="20"/>
            </w:pPr>
            <w:r/>
            <w:r>
              <w:rPr>
                <w:b w:val="0"/>
                <w:sz w:val="17"/>
              </w:rPr>
              <w:t>26.7%</w:t>
            </w:r>
          </w:p>
        </w:tc>
        <w:tc>
          <w:tcPr>
            <w:tcW w:type="dxa" w:w="1656"/>
            <w:shd w:val="clear" w:fill="EEF4F8"/>
          </w:tcPr>
          <w:p>
            <w:pPr>
              <w:spacing w:after="20"/>
            </w:pPr>
            <w:r/>
            <w:r>
              <w:rPr>
                <w:b w:val="0"/>
                <w:sz w:val="17"/>
              </w:rPr>
              <w:t>2,279</w:t>
            </w:r>
          </w:p>
        </w:tc>
      </w:tr>
      <w:tr>
        <w:trPr>
          <w:cantSplit/>
        </w:trPr>
        <w:tc>
          <w:tcPr>
            <w:tcW w:type="dxa" w:w="1656"/>
          </w:tcPr>
          <w:p>
            <w:pPr>
              <w:spacing w:after="20"/>
            </w:pPr>
            <w:r/>
            <w:r>
              <w:rPr>
                <w:b w:val="0"/>
                <w:sz w:val="17"/>
              </w:rPr>
              <w:t>2025</w:t>
            </w:r>
          </w:p>
        </w:tc>
        <w:tc>
          <w:tcPr>
            <w:tcW w:type="dxa" w:w="1656"/>
          </w:tcPr>
          <w:p>
            <w:pPr>
              <w:spacing w:after="20"/>
            </w:pPr>
            <w:r/>
            <w:r>
              <w:rPr>
                <w:b w:val="0"/>
                <w:sz w:val="17"/>
              </w:rPr>
              <w:t>$223,374,548</w:t>
            </w:r>
          </w:p>
        </w:tc>
        <w:tc>
          <w:tcPr>
            <w:tcW w:type="dxa" w:w="1656"/>
          </w:tcPr>
          <w:p>
            <w:pPr>
              <w:spacing w:after="20"/>
            </w:pPr>
            <w:r/>
            <w:r>
              <w:rPr>
                <w:b w:val="0"/>
                <w:sz w:val="17"/>
              </w:rPr>
              <w:t>$207,676,009</w:t>
            </w:r>
          </w:p>
        </w:tc>
        <w:tc>
          <w:tcPr>
            <w:tcW w:type="dxa" w:w="1656"/>
          </w:tcPr>
          <w:p>
            <w:pPr>
              <w:spacing w:after="20"/>
            </w:pPr>
            <w:r/>
            <w:r>
              <w:rPr>
                <w:b w:val="0"/>
                <w:sz w:val="17"/>
              </w:rPr>
              <w:t>$15,698,539</w:t>
            </w:r>
          </w:p>
        </w:tc>
        <w:tc>
          <w:tcPr>
            <w:tcW w:type="dxa" w:w="1656"/>
          </w:tcPr>
          <w:p>
            <w:pPr>
              <w:spacing w:after="20"/>
            </w:pPr>
            <w:r/>
            <w:r>
              <w:rPr>
                <w:b w:val="0"/>
                <w:sz w:val="17"/>
              </w:rPr>
              <w:t>7.0%</w:t>
            </w:r>
          </w:p>
        </w:tc>
        <w:tc>
          <w:tcPr>
            <w:tcW w:type="dxa" w:w="1656"/>
          </w:tcPr>
          <w:p>
            <w:pPr>
              <w:spacing w:after="20"/>
            </w:pPr>
            <w:r/>
            <w:r>
              <w:rPr>
                <w:b w:val="0"/>
                <w:sz w:val="17"/>
              </w:rPr>
              <w:t>578</w:t>
            </w:r>
          </w:p>
        </w:tc>
      </w:tr>
      <w:tr>
        <w:trPr>
          <w:cantSplit/>
        </w:trPr>
        <w:tc>
          <w:tcPr>
            <w:tcW w:type="dxa" w:w="1656"/>
            <w:shd w:val="clear" w:fill="EEF4F8"/>
          </w:tcPr>
          <w:p>
            <w:pPr>
              <w:spacing w:after="20"/>
            </w:pPr>
            <w:r/>
            <w:r>
              <w:rPr>
                <w:b/>
                <w:sz w:val="17"/>
              </w:rPr>
              <w:t>Total</w:t>
            </w:r>
          </w:p>
        </w:tc>
        <w:tc>
          <w:tcPr>
            <w:tcW w:type="dxa" w:w="1656"/>
            <w:shd w:val="clear" w:fill="EEF4F8"/>
          </w:tcPr>
          <w:p>
            <w:pPr>
              <w:spacing w:after="20"/>
            </w:pPr>
            <w:r/>
            <w:r>
              <w:rPr>
                <w:b/>
                <w:sz w:val="17"/>
              </w:rPr>
              <w:t>$2,250,872,386</w:t>
            </w:r>
          </w:p>
        </w:tc>
        <w:tc>
          <w:tcPr>
            <w:tcW w:type="dxa" w:w="1656"/>
            <w:shd w:val="clear" w:fill="EEF4F8"/>
          </w:tcPr>
          <w:p>
            <w:pPr>
              <w:spacing w:after="20"/>
            </w:pPr>
            <w:r/>
            <w:r>
              <w:rPr>
                <w:b/>
                <w:sz w:val="17"/>
              </w:rPr>
              <w:t>$1,709,590,738</w:t>
            </w:r>
          </w:p>
        </w:tc>
        <w:tc>
          <w:tcPr>
            <w:tcW w:type="dxa" w:w="1656"/>
            <w:shd w:val="clear" w:fill="EEF4F8"/>
          </w:tcPr>
          <w:p>
            <w:pPr>
              <w:spacing w:after="20"/>
            </w:pPr>
            <w:r/>
            <w:r>
              <w:rPr>
                <w:b/>
                <w:sz w:val="17"/>
              </w:rPr>
              <w:t>$541,281,648</w:t>
            </w:r>
          </w:p>
        </w:tc>
        <w:tc>
          <w:tcPr>
            <w:tcW w:type="dxa" w:w="1656"/>
            <w:shd w:val="clear" w:fill="EEF4F8"/>
          </w:tcPr>
          <w:p>
            <w:pPr>
              <w:spacing w:after="20"/>
            </w:pPr>
            <w:r/>
            <w:r>
              <w:rPr>
                <w:b/>
                <w:sz w:val="17"/>
              </w:rPr>
              <w:t>24.0%</w:t>
            </w:r>
          </w:p>
        </w:tc>
        <w:tc>
          <w:tcPr>
            <w:tcW w:type="dxa" w:w="1656"/>
            <w:shd w:val="clear" w:fill="EEF4F8"/>
          </w:tcPr>
          <w:p>
            <w:pPr>
              <w:spacing w:after="20"/>
            </w:pPr>
            <w:r/>
            <w:r>
              <w:rPr>
                <w:b/>
                <w:sz w:val="17"/>
              </w:rPr>
              <w:t>5,150</w:t>
            </w:r>
          </w:p>
        </w:tc>
      </w:tr>
    </w:tbl>
    <w:p>
      <w:pPr>
        <w:spacing w:after="80"/>
      </w:pPr>
    </w:p>
    <w:p>
      <w:pPr>
        <w:keepNext/>
        <w:spacing w:before="160" w:after="40"/>
        <w:outlineLvl w:val="2"/>
      </w:pPr>
      <w:r>
        <w:rPr>
          <w:b/>
          <w:color w:val="29B5E8"/>
          <w:sz w:val="20"/>
        </w:rPr>
        <w:t>2025 is a partial year and must be labelled as such</w:t>
      </w:r>
    </w:p>
    <w:p>
      <w:pPr>
        <w:spacing w:after="120"/>
      </w:pPr>
      <w:r>
        <w:rPr>
          <w:b w:val="0"/>
          <w:i w:val="0"/>
          <w:sz w:val="20"/>
        </w:rPr>
        <w:t xml:space="preserve">578 documents against roughly 2,285 in each of the two prior years, and the ledger's last posting date is </w:t>
      </w:r>
      <w:r>
        <w:rPr>
          <w:b/>
          <w:i w:val="0"/>
          <w:sz w:val="20"/>
        </w:rPr>
        <w:t>2025-03-28</w:t>
      </w:r>
      <w:r>
        <w:rPr>
          <w:b w:val="0"/>
          <w:i w:val="0"/>
          <w:sz w:val="20"/>
        </w:rPr>
        <w:t>. Fiscal 2025 is about a quarter of a year.</w:t>
      </w:r>
    </w:p>
    <w:p>
      <w:pPr>
        <w:spacing w:after="120"/>
      </w:pPr>
      <w:r>
        <w:rPr>
          <w:b w:val="0"/>
          <w:i w:val="0"/>
          <w:sz w:val="20"/>
        </w:rPr>
        <w:t xml:space="preserve">The 7.0% margin is therefore not a margin collapse. It is a quarter of revenue carrying a quarter's worth of variable expense against a period's fixed costs, and comparing it to a full-year 26.7% is comparing different things. Any year-on-year chart built from </w:t>
      </w:r>
      <w:r>
        <w:rPr>
          <w:rFonts w:ascii="Consolas" w:hAnsi="Consolas"/>
          <w:b w:val="0"/>
          <w:i w:val="0"/>
          <w:color w:val="1B5E8C"/>
          <w:sz w:val="19"/>
        </w:rPr>
        <w:t>DT_PNL_SUMMARY</w:t>
      </w:r>
      <w:r>
        <w:rPr>
          <w:b w:val="0"/>
          <w:i w:val="0"/>
          <w:sz w:val="20"/>
        </w:rPr>
        <w:t xml:space="preserve"> that does not mark 2025 partial tells a story that did not happen — and it is an easy chart to build, because the data offers no hint that the third bar is short.</w:t>
      </w:r>
    </w:p>
    <w:p>
      <w:pPr>
        <w:keepNext/>
        <w:spacing w:before="160" w:after="40"/>
        <w:outlineLvl w:val="2"/>
      </w:pPr>
      <w:r>
        <w:rPr>
          <w:b/>
          <w:color w:val="29B5E8"/>
          <w:sz w:val="20"/>
        </w:rPr>
        <w:t>Documents and line items differ by exactly 2×</w:t>
      </w:r>
    </w:p>
    <w:p>
      <w:pPr>
        <w:spacing w:after="120"/>
      </w:pPr>
      <w:r>
        <w:rPr>
          <w:rFonts w:ascii="Consolas" w:hAnsi="Consolas"/>
          <w:b w:val="0"/>
          <w:i w:val="0"/>
          <w:color w:val="1B5E8C"/>
          <w:sz w:val="19"/>
        </w:rPr>
        <w:t>DT_PNL_SUMMARY</w:t>
      </w:r>
      <w:r>
        <w:rPr>
          <w:b w:val="0"/>
          <w:i w:val="0"/>
          <w:sz w:val="20"/>
        </w:rPr>
        <w:t xml:space="preserve"> accounts for 5,150 documents. </w:t>
      </w:r>
      <w:r>
        <w:rPr>
          <w:rFonts w:ascii="Consolas" w:hAnsi="Consolas"/>
          <w:b w:val="0"/>
          <w:i w:val="0"/>
          <w:color w:val="1B5E8C"/>
          <w:sz w:val="19"/>
        </w:rPr>
        <w:t>DT_JOURNAL_ENTRY_360</w:t>
      </w:r>
      <w:r>
        <w:rPr>
          <w:b w:val="0"/>
          <w:i w:val="0"/>
          <w:sz w:val="20"/>
        </w:rPr>
        <w:t xml:space="preserve"> holds 10,300 rows — exactly twice that, with no remainder.</w:t>
      </w:r>
    </w:p>
    <w:p>
      <w:pPr>
        <w:spacing w:after="120"/>
      </w:pPr>
      <w:r>
        <w:rPr>
          <w:b w:val="0"/>
          <w:i w:val="0"/>
          <w:sz w:val="20"/>
        </w:rPr>
        <w:t xml:space="preserve">Every accounting document in this dataset has precisely two line items. That is consistent with a balanced debit/credit pair per document, and it explains why the sign problem above is so easy to trip over: for any document, the two lines very nearly cancel. A </w:t>
      </w:r>
      <w:r>
        <w:rPr>
          <w:rFonts w:ascii="Consolas" w:hAnsi="Consolas"/>
          <w:b w:val="0"/>
          <w:i w:val="0"/>
          <w:color w:val="1B5E8C"/>
          <w:sz w:val="19"/>
        </w:rPr>
        <w:t>SUM</w:t>
      </w:r>
      <w:r>
        <w:rPr>
          <w:b w:val="0"/>
          <w:i w:val="0"/>
          <w:sz w:val="20"/>
        </w:rPr>
        <w:t xml:space="preserve"> without </w:t>
      </w:r>
      <w:r>
        <w:rPr>
          <w:rFonts w:ascii="Consolas" w:hAnsi="Consolas"/>
          <w:b w:val="0"/>
          <w:i w:val="0"/>
          <w:color w:val="1B5E8C"/>
          <w:sz w:val="19"/>
        </w:rPr>
        <w:t>ABS</w:t>
      </w:r>
      <w:r>
        <w:rPr>
          <w:b w:val="0"/>
          <w:i w:val="0"/>
          <w:sz w:val="20"/>
        </w:rPr>
        <w:t xml:space="preserve"> over the whole table is close to measuring the residual of 5,150 near-cancellations rather than measuring money.</w:t>
      </w:r>
    </w:p>
    <w:p>
      <w:pPr>
        <w:spacing w:after="120"/>
      </w:pPr>
      <w:r>
        <w:rPr>
          <w:b w:val="0"/>
          <w:i w:val="0"/>
          <w:sz w:val="20"/>
        </w:rPr>
        <w:t>It also means row counts and document counts in this stack are never interchangeable, and a "number of transactions" tile has to say which it counts.</w:t>
      </w:r>
    </w:p>
    <w:p>
      <w:pPr>
        <w:spacing w:before="80" w:after="160"/>
        <w:jc w:val="center"/>
      </w:pPr>
      <w:r>
        <w:rPr>
          <w:color w:val="C8D4DE"/>
          <w:sz w:val="12"/>
        </w:rPr>
        <w:t>──────────────────────────────────────────────────────────</w:t>
      </w:r>
    </w:p>
    <w:p>
      <w:pPr>
        <w:keepNext/>
        <w:spacing w:before="240" w:after="60"/>
        <w:outlineLvl w:val="1"/>
      </w:pPr>
      <w:r>
        <w:rPr>
          <w:rFonts w:ascii="Consolas" w:hAnsi="Consolas"/>
          <w:b/>
          <w:color w:val="1B3A57"/>
          <w:sz w:val="22"/>
        </w:rPr>
        <w:t>DT_AR_AGING</w:t>
      </w:r>
      <w:r>
        <w:rPr>
          <w:b/>
          <w:color w:val="1B3A57"/>
          <w:sz w:val="23"/>
        </w:rPr>
        <w:t xml:space="preserve"> is a plain table wearing a dynamic table's prefix</w:t>
      </w:r>
    </w:p>
    <w:p>
      <w:pPr>
        <w:spacing w:after="120"/>
      </w:pPr>
      <w:r>
        <w:rPr>
          <w:rFonts w:ascii="Consolas" w:hAnsi="Consolas"/>
          <w:b w:val="0"/>
          <w:i w:val="0"/>
          <w:color w:val="1B5E8C"/>
          <w:sz w:val="19"/>
        </w:rPr>
        <w:t>ANALYTICS</w:t>
      </w:r>
      <w:r>
        <w:rPr>
          <w:b w:val="0"/>
          <w:i w:val="0"/>
          <w:sz w:val="20"/>
        </w:rPr>
        <w:t xml:space="preserve"> holds seven objects. Six are dynamic tables. </w:t>
      </w:r>
      <w:r>
        <w:rPr>
          <w:rFonts w:ascii="Consolas" w:hAnsi="Consolas"/>
          <w:b w:val="0"/>
          <w:i w:val="0"/>
          <w:color w:val="1B5E8C"/>
          <w:sz w:val="19"/>
        </w:rPr>
        <w:t>DT_AR_AGING</w:t>
      </w:r>
      <w:r>
        <w:rPr>
          <w:b w:val="0"/>
          <w:i w:val="0"/>
          <w:sz w:val="20"/>
        </w:rPr>
        <w:t xml:space="preserve"> is not — </w:t>
      </w:r>
      <w:r>
        <w:rPr>
          <w:rFonts w:ascii="Consolas" w:hAnsi="Consolas"/>
          <w:b w:val="0"/>
          <w:i w:val="0"/>
          <w:color w:val="1B5E8C"/>
          <w:sz w:val="19"/>
        </w:rPr>
        <w:t>SHOW DYNAMIC TABLES</w:t>
      </w:r>
      <w:r>
        <w:rPr>
          <w:b w:val="0"/>
          <w:i w:val="0"/>
          <w:sz w:val="20"/>
        </w:rPr>
        <w:t xml:space="preserve"> returns six names and this is not among them.</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 xml:space="preserve">Objects in </w:t>
            </w:r>
            <w:r>
              <w:rPr>
                <w:rFonts w:ascii="Consolas" w:hAnsi="Consolas"/>
                <w:b w:val="0"/>
                <w:color w:val="1B5E8C"/>
                <w:sz w:val="16"/>
              </w:rPr>
              <w:t>ANALYTICS</w:t>
            </w:r>
          </w:p>
        </w:tc>
        <w:tc>
          <w:tcPr>
            <w:tcW w:type="dxa" w:w="7056"/>
          </w:tcPr>
          <w:p>
            <w:pPr>
              <w:spacing w:after="20"/>
            </w:pPr>
            <w:r/>
            <w:r>
              <w:rPr>
                <w:b w:val="0"/>
                <w:sz w:val="17"/>
              </w:rPr>
              <w:t>7</w:t>
            </w:r>
          </w:p>
        </w:tc>
      </w:tr>
      <w:tr>
        <w:trPr>
          <w:cantSplit/>
        </w:trPr>
        <w:tc>
          <w:tcPr>
            <w:tcW w:type="dxa" w:w="2880"/>
            <w:shd w:val="clear" w:fill="EEF4F8"/>
          </w:tcPr>
          <w:p>
            <w:pPr>
              <w:spacing w:after="20"/>
            </w:pPr>
            <w:r/>
            <w:r>
              <w:rPr>
                <w:rFonts w:ascii="Consolas" w:hAnsi="Consolas"/>
                <w:b w:val="0"/>
                <w:color w:val="1B5E8C"/>
                <w:sz w:val="16"/>
              </w:rPr>
              <w:t>DT_</w:t>
            </w:r>
            <w:r>
              <w:rPr>
                <w:b w:val="0"/>
                <w:sz w:val="17"/>
              </w:rPr>
              <w:t>-prefixed</w:t>
            </w:r>
          </w:p>
        </w:tc>
        <w:tc>
          <w:tcPr>
            <w:tcW w:type="dxa" w:w="7056"/>
            <w:shd w:val="clear" w:fill="EEF4F8"/>
          </w:tcPr>
          <w:p>
            <w:pPr>
              <w:spacing w:after="20"/>
            </w:pPr>
            <w:r/>
            <w:r>
              <w:rPr>
                <w:b w:val="0"/>
                <w:sz w:val="17"/>
              </w:rPr>
              <w:t>7</w:t>
            </w:r>
          </w:p>
        </w:tc>
      </w:tr>
      <w:tr>
        <w:trPr>
          <w:cantSplit/>
        </w:trPr>
        <w:tc>
          <w:tcPr>
            <w:tcW w:type="dxa" w:w="2880"/>
          </w:tcPr>
          <w:p>
            <w:pPr>
              <w:spacing w:after="20"/>
            </w:pPr>
            <w:r/>
            <w:r>
              <w:rPr>
                <w:b w:val="0"/>
                <w:sz w:val="17"/>
              </w:rPr>
              <w:t>Actually dynamic</w:t>
            </w:r>
          </w:p>
        </w:tc>
        <w:tc>
          <w:tcPr>
            <w:tcW w:type="dxa" w:w="7056"/>
          </w:tcPr>
          <w:p>
            <w:pPr>
              <w:spacing w:after="20"/>
            </w:pPr>
            <w:r/>
            <w:r>
              <w:rPr>
                <w:b w:val="0"/>
                <w:sz w:val="17"/>
              </w:rPr>
              <w:t>6</w:t>
            </w:r>
          </w:p>
        </w:tc>
      </w:tr>
      <w:tr>
        <w:trPr>
          <w:cantSplit/>
        </w:trPr>
        <w:tc>
          <w:tcPr>
            <w:tcW w:type="dxa" w:w="2880"/>
            <w:shd w:val="clear" w:fill="EEF4F8"/>
          </w:tcPr>
          <w:p>
            <w:pPr>
              <w:spacing w:after="20"/>
            </w:pPr>
            <w:r/>
            <w:r>
              <w:rPr>
                <w:b w:val="0"/>
                <w:sz w:val="17"/>
              </w:rPr>
              <w:t>Prefixed but not dynamic</w:t>
            </w:r>
          </w:p>
        </w:tc>
        <w:tc>
          <w:tcPr>
            <w:tcW w:type="dxa" w:w="7056"/>
            <w:shd w:val="clear" w:fill="EEF4F8"/>
          </w:tcPr>
          <w:p>
            <w:pPr>
              <w:spacing w:after="20"/>
            </w:pPr>
            <w:r/>
            <w:r>
              <w:rPr>
                <w:rFonts w:ascii="Consolas" w:hAnsi="Consolas"/>
                <w:b/>
                <w:color w:val="1B5E8C"/>
                <w:sz w:val="16"/>
              </w:rPr>
              <w:t>DT_AR_AGING</w:t>
            </w:r>
          </w:p>
        </w:tc>
      </w:tr>
    </w:tbl>
    <w:p>
      <w:pPr>
        <w:spacing w:after="80"/>
      </w:pPr>
    </w:p>
    <w:p>
      <w:pPr>
        <w:spacing w:after="120"/>
      </w:pPr>
      <w:r>
        <w:rPr>
          <w:b w:val="0"/>
          <w:i w:val="0"/>
          <w:sz w:val="20"/>
        </w:rPr>
        <w:t xml:space="preserve">The reason is sound: </w:t>
      </w:r>
      <w:r>
        <w:rPr>
          <w:b/>
          <w:i w:val="0"/>
          <w:sz w:val="20"/>
        </w:rPr>
        <w:t>the SAP BDC Standard Data Products in scope publish no receivables object.</w:t>
      </w:r>
      <w:r>
        <w:rPr>
          <w:b w:val="0"/>
          <w:i w:val="0"/>
          <w:sz w:val="20"/>
        </w:rPr>
        <w:t xml:space="preserve"> There is no L1 source for AR, so there is nothing for a dynamic table to be defined over. It is generated data in a plain table.</w:t>
      </w:r>
    </w:p>
    <w:p>
      <w:pPr>
        <w:spacing w:after="120"/>
      </w:pPr>
      <w:r>
        <w:rPr>
          <w:b w:val="0"/>
          <w:i w:val="0"/>
          <w:sz w:val="20"/>
        </w:rPr>
        <w:t>The naming is what is wrong, not the decision. The prefix asserts a refresh behaviour that does not exist, and the consequences are concrete:</w:t>
      </w:r>
    </w:p>
    <w:p>
      <w:pPr>
        <w:pStyle w:val="ListBullet"/>
        <w:spacing w:after="40"/>
      </w:pPr>
      <w:r>
        <w:rPr>
          <w:b w:val="0"/>
          <w:sz w:val="20"/>
        </w:rPr>
        <w:t xml:space="preserve">No refresh history, no lag metric, and </w:t>
      </w:r>
      <w:r>
        <w:rPr>
          <w:rFonts w:ascii="Consolas" w:hAnsi="Consolas"/>
          <w:b w:val="0"/>
          <w:color w:val="1B5E8C"/>
          <w:sz w:val="19"/>
        </w:rPr>
        <w:t>ALTER ... REFRESH</w:t>
      </w:r>
      <w:r>
        <w:rPr>
          <w:b w:val="0"/>
          <w:sz w:val="20"/>
        </w:rPr>
        <w:t xml:space="preserve"> does not apply.</w:t>
      </w:r>
    </w:p>
    <w:p>
      <w:pPr>
        <w:pStyle w:val="ListBullet"/>
        <w:spacing w:after="40"/>
      </w:pPr>
      <w:r>
        <w:rPr>
          <w:b w:val="0"/>
          <w:sz w:val="20"/>
        </w:rPr>
        <w:t xml:space="preserve">A monitoring check that enumerates </w:t>
      </w:r>
      <w:r>
        <w:rPr>
          <w:rFonts w:ascii="Consolas" w:hAnsi="Consolas"/>
          <w:b w:val="0"/>
          <w:color w:val="1B5E8C"/>
          <w:sz w:val="19"/>
        </w:rPr>
        <w:t>DT_*</w:t>
      </w:r>
      <w:r>
        <w:rPr>
          <w:b w:val="0"/>
          <w:sz w:val="20"/>
        </w:rPr>
        <w:t xml:space="preserve"> and expects lag reports a false failure on this one object.</w:t>
      </w:r>
    </w:p>
    <w:p>
      <w:pPr>
        <w:pStyle w:val="ListBullet"/>
        <w:spacing w:after="40"/>
      </w:pPr>
      <w:r>
        <w:rPr>
          <w:b w:val="0"/>
          <w:sz w:val="20"/>
        </w:rPr>
        <w:t>AR figures do not move when L0 moves, while the other six do.</w:t>
      </w:r>
    </w:p>
    <w:p>
      <w:pPr>
        <w:spacing w:after="120"/>
      </w:pPr>
      <w:r>
        <w:rPr>
          <w:b w:val="0"/>
          <w:i w:val="0"/>
          <w:sz w:val="20"/>
        </w:rPr>
        <w:t xml:space="preserve">The AR data window makes the same point independently: </w:t>
      </w:r>
      <w:r>
        <w:rPr>
          <w:rFonts w:ascii="Consolas" w:hAnsi="Consolas"/>
          <w:b w:val="0"/>
          <w:i w:val="0"/>
          <w:color w:val="1B5E8C"/>
          <w:sz w:val="19"/>
        </w:rPr>
        <w:t>INVOICEDATE</w:t>
      </w:r>
      <w:r>
        <w:rPr>
          <w:b w:val="0"/>
          <w:i w:val="0"/>
          <w:sz w:val="20"/>
        </w:rPr>
        <w:t xml:space="preserve"> runs from </w:t>
      </w:r>
      <w:r>
        <w:rPr>
          <w:b/>
          <w:i w:val="0"/>
          <w:sz w:val="20"/>
        </w:rPr>
        <w:t>2024-11-14 to 2026-05-07</w:t>
      </w:r>
      <w:r>
        <w:rPr>
          <w:b w:val="0"/>
          <w:i w:val="0"/>
          <w:sz w:val="20"/>
        </w:rPr>
        <w:t>, while the ledger ends 2025-03-28. AR extends more than a year past the last real posting and starts nearly two years after the first. No object derived from this ledger would have that shape.</w:t>
      </w:r>
    </w:p>
    <w:p>
      <w:pPr>
        <w:spacing w:after="120"/>
      </w:pPr>
      <w:r>
        <w:rPr>
          <w:b w:val="0"/>
          <w:i w:val="0"/>
          <w:sz w:val="20"/>
        </w:rPr>
        <w:t>Call this out when presenting. A customer architect who discovers it unprompted reasonably starts doubting the other six.</w:t>
      </w:r>
    </w:p>
    <w:p>
      <w:pPr>
        <w:spacing w:before="80" w:after="160"/>
        <w:jc w:val="center"/>
      </w:pPr>
      <w:r>
        <w:rPr>
          <w:color w:val="C8D4DE"/>
          <w:sz w:val="12"/>
        </w:rPr>
        <w:t>──────────────────────────────────────────────────────────</w:t>
      </w:r>
    </w:p>
    <w:p>
      <w:pPr>
        <w:keepNext/>
        <w:spacing w:before="240" w:after="60"/>
        <w:outlineLvl w:val="1"/>
      </w:pPr>
      <w:r>
        <w:rPr>
          <w:b/>
          <w:color w:val="1B3A57"/>
          <w:sz w:val="23"/>
        </w:rPr>
        <w:t>AP aging is concentrated in 90+ days, and the gross exceeds revenue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Bucket</w:t>
            </w:r>
          </w:p>
        </w:tc>
        <w:tc>
          <w:tcPr>
            <w:tcW w:type="dxa" w:w="3528"/>
            <w:shd w:val="clear" w:fill="1B3A57"/>
          </w:tcPr>
          <w:p>
            <w:pPr>
              <w:spacing w:after="20"/>
            </w:pPr>
            <w:r/>
            <w:r>
              <w:rPr>
                <w:b/>
                <w:color w:val="FFFFFF"/>
                <w:sz w:val="17"/>
              </w:rPr>
              <w:t>Invoices</w:t>
            </w:r>
          </w:p>
        </w:tc>
        <w:tc>
          <w:tcPr>
            <w:tcW w:type="dxa" w:w="3528"/>
            <w:shd w:val="clear" w:fill="1B3A57"/>
          </w:tcPr>
          <w:p>
            <w:pPr>
              <w:spacing w:after="20"/>
            </w:pPr>
            <w:r/>
            <w:r>
              <w:rPr>
                <w:b/>
                <w:color w:val="FFFFFF"/>
                <w:sz w:val="17"/>
              </w:rPr>
              <w:t>Gross</w:t>
            </w:r>
          </w:p>
        </w:tc>
      </w:tr>
      <w:tr>
        <w:trPr>
          <w:cantSplit/>
        </w:trPr>
        <w:tc>
          <w:tcPr>
            <w:tcW w:type="dxa" w:w="2880"/>
          </w:tcPr>
          <w:p>
            <w:pPr>
              <w:spacing w:after="20"/>
            </w:pPr>
            <w:r/>
            <w:r>
              <w:rPr>
                <w:b w:val="0"/>
                <w:sz w:val="17"/>
              </w:rPr>
              <w:t>90+ Days</w:t>
            </w:r>
          </w:p>
        </w:tc>
        <w:tc>
          <w:tcPr>
            <w:tcW w:type="dxa" w:w="3528"/>
          </w:tcPr>
          <w:p>
            <w:pPr>
              <w:spacing w:after="20"/>
            </w:pPr>
            <w:r/>
            <w:r>
              <w:rPr>
                <w:b w:val="0"/>
                <w:sz w:val="17"/>
              </w:rPr>
              <w:t>294</w:t>
            </w:r>
          </w:p>
        </w:tc>
        <w:tc>
          <w:tcPr>
            <w:tcW w:type="dxa" w:w="3528"/>
          </w:tcPr>
          <w:p>
            <w:pPr>
              <w:spacing w:after="20"/>
            </w:pPr>
            <w:r/>
            <w:r>
              <w:rPr>
                <w:b w:val="0"/>
                <w:sz w:val="17"/>
              </w:rPr>
              <w:t>$2,988,769,953</w:t>
            </w:r>
          </w:p>
        </w:tc>
      </w:tr>
      <w:tr>
        <w:trPr>
          <w:cantSplit/>
        </w:trPr>
        <w:tc>
          <w:tcPr>
            <w:tcW w:type="dxa" w:w="2880"/>
            <w:shd w:val="clear" w:fill="EEF4F8"/>
          </w:tcPr>
          <w:p>
            <w:pPr>
              <w:spacing w:after="20"/>
            </w:pPr>
            <w:r/>
            <w:r>
              <w:rPr>
                <w:b w:val="0"/>
                <w:sz w:val="17"/>
              </w:rPr>
              <w:t>31–60 Days</w:t>
            </w:r>
          </w:p>
        </w:tc>
        <w:tc>
          <w:tcPr>
            <w:tcW w:type="dxa" w:w="3528"/>
            <w:shd w:val="clear" w:fill="EEF4F8"/>
          </w:tcPr>
          <w:p>
            <w:pPr>
              <w:spacing w:after="20"/>
            </w:pPr>
            <w:r/>
            <w:r>
              <w:rPr>
                <w:b w:val="0"/>
                <w:sz w:val="17"/>
              </w:rPr>
              <w:t>52</w:t>
            </w:r>
          </w:p>
        </w:tc>
        <w:tc>
          <w:tcPr>
            <w:tcW w:type="dxa" w:w="3528"/>
            <w:shd w:val="clear" w:fill="EEF4F8"/>
          </w:tcPr>
          <w:p>
            <w:pPr>
              <w:spacing w:after="20"/>
            </w:pPr>
            <w:r/>
            <w:r>
              <w:rPr>
                <w:b w:val="0"/>
                <w:sz w:val="17"/>
              </w:rPr>
              <w:t>$760,068,090</w:t>
            </w:r>
          </w:p>
        </w:tc>
      </w:tr>
      <w:tr>
        <w:trPr>
          <w:cantSplit/>
        </w:trPr>
        <w:tc>
          <w:tcPr>
            <w:tcW w:type="dxa" w:w="2880"/>
          </w:tcPr>
          <w:p>
            <w:pPr>
              <w:spacing w:after="20"/>
            </w:pPr>
            <w:r/>
            <w:r>
              <w:rPr>
                <w:b w:val="0"/>
                <w:sz w:val="17"/>
              </w:rPr>
              <w:t>61–90 Days</w:t>
            </w:r>
          </w:p>
        </w:tc>
        <w:tc>
          <w:tcPr>
            <w:tcW w:type="dxa" w:w="3528"/>
          </w:tcPr>
          <w:p>
            <w:pPr>
              <w:spacing w:after="20"/>
            </w:pPr>
            <w:r/>
            <w:r>
              <w:rPr>
                <w:b w:val="0"/>
                <w:sz w:val="17"/>
              </w:rPr>
              <w:t>45</w:t>
            </w:r>
          </w:p>
        </w:tc>
        <w:tc>
          <w:tcPr>
            <w:tcW w:type="dxa" w:w="3528"/>
          </w:tcPr>
          <w:p>
            <w:pPr>
              <w:spacing w:after="20"/>
            </w:pPr>
            <w:r/>
            <w:r>
              <w:rPr>
                <w:b w:val="0"/>
                <w:sz w:val="17"/>
              </w:rPr>
              <w:t>$367,579,488</w:t>
            </w:r>
          </w:p>
        </w:tc>
      </w:tr>
      <w:tr>
        <w:trPr>
          <w:cantSplit/>
        </w:trPr>
        <w:tc>
          <w:tcPr>
            <w:tcW w:type="dxa" w:w="2880"/>
            <w:shd w:val="clear" w:fill="EEF4F8"/>
          </w:tcPr>
          <w:p>
            <w:pPr>
              <w:spacing w:after="20"/>
            </w:pPr>
            <w:r/>
            <w:r>
              <w:rPr>
                <w:b w:val="0"/>
                <w:sz w:val="17"/>
              </w:rPr>
              <w:t>Current</w:t>
            </w:r>
          </w:p>
        </w:tc>
        <w:tc>
          <w:tcPr>
            <w:tcW w:type="dxa" w:w="3528"/>
            <w:shd w:val="clear" w:fill="EEF4F8"/>
          </w:tcPr>
          <w:p>
            <w:pPr>
              <w:spacing w:after="20"/>
            </w:pPr>
            <w:r/>
            <w:r>
              <w:rPr>
                <w:b w:val="0"/>
                <w:sz w:val="17"/>
              </w:rPr>
              <w:t>28</w:t>
            </w:r>
          </w:p>
        </w:tc>
        <w:tc>
          <w:tcPr>
            <w:tcW w:type="dxa" w:w="3528"/>
            <w:shd w:val="clear" w:fill="EEF4F8"/>
          </w:tcPr>
          <w:p>
            <w:pPr>
              <w:spacing w:after="20"/>
            </w:pPr>
            <w:r/>
            <w:r>
              <w:rPr>
                <w:b w:val="0"/>
                <w:sz w:val="17"/>
              </w:rPr>
              <w:t>$223,910,152</w:t>
            </w:r>
          </w:p>
        </w:tc>
      </w:tr>
      <w:tr>
        <w:trPr>
          <w:cantSplit/>
        </w:trPr>
        <w:tc>
          <w:tcPr>
            <w:tcW w:type="dxa" w:w="2880"/>
          </w:tcPr>
          <w:p>
            <w:pPr>
              <w:spacing w:after="20"/>
            </w:pPr>
            <w:r/>
            <w:r>
              <w:rPr>
                <w:b/>
                <w:sz w:val="17"/>
              </w:rPr>
              <w:t>Total</w:t>
            </w:r>
          </w:p>
        </w:tc>
        <w:tc>
          <w:tcPr>
            <w:tcW w:type="dxa" w:w="3528"/>
          </w:tcPr>
          <w:p>
            <w:pPr>
              <w:spacing w:after="20"/>
            </w:pPr>
            <w:r/>
            <w:r>
              <w:rPr>
                <w:b/>
                <w:sz w:val="17"/>
              </w:rPr>
              <w:t>419</w:t>
            </w:r>
          </w:p>
        </w:tc>
        <w:tc>
          <w:tcPr>
            <w:tcW w:type="dxa" w:w="3528"/>
          </w:tcPr>
          <w:p>
            <w:pPr>
              <w:spacing w:after="20"/>
            </w:pPr>
            <w:r/>
            <w:r>
              <w:rPr>
                <w:b/>
                <w:sz w:val="17"/>
              </w:rPr>
              <w:t>$4,340,327,683</w:t>
            </w:r>
          </w:p>
        </w:tc>
      </w:tr>
    </w:tbl>
    <w:p>
      <w:pPr>
        <w:spacing w:after="80"/>
      </w:pPr>
    </w:p>
    <w:p>
      <w:pPr>
        <w:spacing w:after="120"/>
      </w:pPr>
      <w:r>
        <w:rPr>
          <w:b w:val="0"/>
          <w:i w:val="0"/>
          <w:sz w:val="20"/>
        </w:rPr>
        <w:t>Two observations, one useful and one a caveat.</w:t>
      </w:r>
    </w:p>
    <w:p>
      <w:pPr>
        <w:spacing w:after="120"/>
      </w:pPr>
      <w:r>
        <w:rPr>
          <w:b/>
          <w:i w:val="0"/>
          <w:sz w:val="20"/>
        </w:rPr>
        <w:t>70% of invoices by count and 69% by value sit in 90+ days.</w:t>
      </w:r>
      <w:r>
        <w:rPr>
          <w:b w:val="0"/>
          <w:i w:val="0"/>
          <w:sz w:val="20"/>
        </w:rPr>
        <w:t xml:space="preserve"> As a demo asset that is convenient — the Accounts Payable page has an obvious story. As a representation of a real AP ledger it is extreme.</w:t>
      </w:r>
    </w:p>
    <w:p>
      <w:pPr>
        <w:spacing w:after="120"/>
      </w:pPr>
      <w:r>
        <w:rPr>
          <w:b/>
          <w:i w:val="0"/>
          <w:sz w:val="20"/>
        </w:rPr>
        <w:t>The caveat is larger.</w:t>
      </w:r>
      <w:r>
        <w:rPr>
          <w:b w:val="0"/>
          <w:i w:val="0"/>
          <w:sz w:val="20"/>
        </w:rPr>
        <w:t xml:space="preserve"> Total AP gross of $4.34bn exceeds three years of recognised revenue ($2.25bn) by nearly a factor of two, across only 419 invoices — an average of $10.4m per invoice. That is not a plausible payables position for the entity the P&amp;L describes.</w:t>
      </w:r>
    </w:p>
    <w:p>
      <w:pPr>
        <w:spacing w:after="120"/>
      </w:pPr>
      <w:r>
        <w:rPr>
          <w:b w:val="0"/>
          <w:i w:val="0"/>
          <w:sz w:val="20"/>
        </w:rPr>
        <w:t xml:space="preserve">The explanation is that AP and the P&amp;L are not derived from a common base: AP comes from </w:t>
      </w:r>
      <w:r>
        <w:rPr>
          <w:rFonts w:ascii="Consolas" w:hAnsi="Consolas"/>
          <w:b w:val="0"/>
          <w:i w:val="0"/>
          <w:color w:val="1B5E8C"/>
          <w:sz w:val="19"/>
        </w:rPr>
        <w:t>SUPPLIERINVOICE</w:t>
      </w:r>
      <w:r>
        <w:rPr>
          <w:b w:val="0"/>
          <w:i w:val="0"/>
          <w:sz w:val="20"/>
        </w:rPr>
        <w:t xml:space="preserve"> gross document amounts, while the P&amp;L comes from posted line items. They are different populations at different grains, and the 1.9× ratio is an artefact of that rather than a finding about the business.</w:t>
      </w:r>
    </w:p>
    <w:p>
      <w:pPr>
        <w:spacing w:after="120"/>
      </w:pPr>
      <w:r>
        <w:rPr>
          <w:b w:val="0"/>
          <w:i w:val="0"/>
          <w:sz w:val="20"/>
        </w:rPr>
        <w:t>Do not put AP gross and revenue on the same axis, and do not compute a payables-to-revenue ratio from these two objects. Nothing in the data warns you off it.</w:t>
      </w:r>
    </w:p>
    <w:p>
      <w:pPr>
        <w:spacing w:before="80" w:after="160"/>
        <w:jc w:val="center"/>
      </w:pPr>
      <w:r>
        <w:rPr>
          <w:color w:val="C8D4DE"/>
          <w:sz w:val="12"/>
        </w:rPr>
        <w:t>──────────────────────────────────────────────────────────</w:t>
      </w:r>
    </w:p>
    <w:p>
      <w:pPr>
        <w:keepNext/>
        <w:spacing w:before="240" w:after="60"/>
        <w:outlineLvl w:val="1"/>
      </w:pPr>
      <w:r>
        <w:rPr>
          <w:b/>
          <w:color w:val="1B3A57"/>
          <w:sz w:val="23"/>
        </w:rPr>
        <w:t>AR reconciles internally, which is worth knowing</w:t>
      </w:r>
    </w:p>
    <w:p>
      <w:pPr>
        <w:spacing w:after="120"/>
      </w:pPr>
      <w:r>
        <w:rPr>
          <w:b w:val="0"/>
          <w:i w:val="0"/>
          <w:sz w:val="20"/>
        </w:rPr>
        <w:t>Unlike the AP-to-P&amp;L comparison, AR is internally consistent — both its value and its count totals tie exactly.</w:t>
      </w:r>
    </w:p>
    <w:tbl>
      <w:tblPr>
        <w:tblStyle w:val="TableGrid"/>
        <w:tblW w:type="auto" w:w="0"/>
        <w:jc w:val="left"/>
        <w:tblLayout w:type="fixed"/>
        <w:tblLook w:firstColumn="1" w:firstRow="1" w:lastColumn="0" w:lastRow="0" w:noHBand="0" w:noVBand="1" w:val="04A0"/>
        <w:tblLayout w:type="fixed"/>
      </w:tblPr>
      <w:tblGrid>
        <w:gridCol w:w="2484"/>
        <w:gridCol w:w="2484"/>
        <w:gridCol w:w="2484"/>
        <w:gridCol w:w="2484"/>
      </w:tblGrid>
      <w:tr>
        <w:trPr>
          <w:cantSplit/>
          <w:tblHeader/>
        </w:trPr>
        <w:tc>
          <w:tcPr>
            <w:tcW w:type="dxa" w:w="2484"/>
            <w:shd w:val="clear" w:fill="1B3A57"/>
          </w:tcPr>
          <w:p>
            <w:pPr>
              <w:spacing w:after="20"/>
            </w:pPr>
            <w:r/>
            <w:r>
              <w:rPr>
                <w:b/>
                <w:color w:val="FFFFFF"/>
                <w:sz w:val="17"/>
              </w:rPr>
              <w:t>Bucket</w:t>
            </w:r>
          </w:p>
        </w:tc>
        <w:tc>
          <w:tcPr>
            <w:tcW w:type="dxa" w:w="2484"/>
            <w:shd w:val="clear" w:fill="1B3A57"/>
          </w:tcPr>
          <w:p>
            <w:pPr>
              <w:spacing w:after="20"/>
            </w:pPr>
            <w:r/>
            <w:r>
              <w:rPr>
                <w:b/>
                <w:color w:val="FFFFFF"/>
                <w:sz w:val="17"/>
              </w:rPr>
              <w:t>Invoices</w:t>
            </w:r>
          </w:p>
        </w:tc>
        <w:tc>
          <w:tcPr>
            <w:tcW w:type="dxa" w:w="2484"/>
            <w:shd w:val="clear" w:fill="1B3A57"/>
          </w:tcPr>
          <w:p>
            <w:pPr>
              <w:spacing w:after="20"/>
            </w:pPr>
            <w:r/>
            <w:r>
              <w:rPr>
                <w:b/>
                <w:color w:val="FFFFFF"/>
                <w:sz w:val="17"/>
              </w:rPr>
              <w:t>Open amount</w:t>
            </w:r>
          </w:p>
        </w:tc>
        <w:tc>
          <w:tcPr>
            <w:tcW w:type="dxa" w:w="2484"/>
            <w:shd w:val="clear" w:fill="1B3A57"/>
          </w:tcPr>
          <w:p>
            <w:pPr>
              <w:spacing w:after="20"/>
            </w:pPr>
            <w:r/>
            <w:r>
              <w:rPr>
                <w:b/>
                <w:color w:val="FFFFFF"/>
                <w:sz w:val="17"/>
              </w:rPr>
              <w:t>Overdue</w:t>
            </w:r>
          </w:p>
        </w:tc>
      </w:tr>
      <w:tr>
        <w:trPr>
          <w:cantSplit/>
        </w:trPr>
        <w:tc>
          <w:tcPr>
            <w:tcW w:type="dxa" w:w="2484"/>
          </w:tcPr>
          <w:p>
            <w:pPr>
              <w:spacing w:after="20"/>
            </w:pPr>
            <w:r/>
            <w:r>
              <w:rPr>
                <w:b w:val="0"/>
                <w:sz w:val="17"/>
              </w:rPr>
              <w:t>Current</w:t>
            </w:r>
          </w:p>
        </w:tc>
        <w:tc>
          <w:tcPr>
            <w:tcW w:type="dxa" w:w="2484"/>
          </w:tcPr>
          <w:p>
            <w:pPr>
              <w:spacing w:after="20"/>
            </w:pPr>
            <w:r/>
            <w:r>
              <w:rPr>
                <w:b w:val="0"/>
                <w:sz w:val="17"/>
              </w:rPr>
              <w:t>402</w:t>
            </w:r>
          </w:p>
        </w:tc>
        <w:tc>
          <w:tcPr>
            <w:tcW w:type="dxa" w:w="2484"/>
          </w:tcPr>
          <w:p>
            <w:pPr>
              <w:spacing w:after="20"/>
            </w:pPr>
            <w:r/>
            <w:r>
              <w:rPr>
                <w:b w:val="0"/>
                <w:sz w:val="17"/>
              </w:rPr>
              <w:t>$52,470,239</w:t>
            </w:r>
          </w:p>
        </w:tc>
        <w:tc>
          <w:tcPr>
            <w:tcW w:type="dxa" w:w="2484"/>
          </w:tcPr>
          <w:p>
            <w:pPr>
              <w:spacing w:after="20"/>
            </w:pPr>
            <w:r/>
            <w:r>
              <w:rPr>
                <w:b w:val="0"/>
                <w:sz w:val="17"/>
              </w:rPr>
              <w:t>0</w:t>
            </w:r>
          </w:p>
        </w:tc>
      </w:tr>
      <w:tr>
        <w:trPr>
          <w:cantSplit/>
        </w:trPr>
        <w:tc>
          <w:tcPr>
            <w:tcW w:type="dxa" w:w="2484"/>
            <w:shd w:val="clear" w:fill="EEF4F8"/>
          </w:tcPr>
          <w:p>
            <w:pPr>
              <w:spacing w:after="20"/>
            </w:pPr>
            <w:r/>
            <w:r>
              <w:rPr>
                <w:b w:val="0"/>
                <w:sz w:val="17"/>
              </w:rPr>
              <w:t>1–30 Days</w:t>
            </w:r>
          </w:p>
        </w:tc>
        <w:tc>
          <w:tcPr>
            <w:tcW w:type="dxa" w:w="2484"/>
            <w:shd w:val="clear" w:fill="EEF4F8"/>
          </w:tcPr>
          <w:p>
            <w:pPr>
              <w:spacing w:after="20"/>
            </w:pPr>
            <w:r/>
            <w:r>
              <w:rPr>
                <w:b w:val="0"/>
                <w:sz w:val="17"/>
              </w:rPr>
              <w:t>107</w:t>
            </w:r>
          </w:p>
        </w:tc>
        <w:tc>
          <w:tcPr>
            <w:tcW w:type="dxa" w:w="2484"/>
            <w:shd w:val="clear" w:fill="EEF4F8"/>
          </w:tcPr>
          <w:p>
            <w:pPr>
              <w:spacing w:after="20"/>
            </w:pPr>
            <w:r/>
            <w:r>
              <w:rPr>
                <w:b w:val="0"/>
                <w:sz w:val="17"/>
              </w:rPr>
              <w:t>$13,524,995</w:t>
            </w:r>
          </w:p>
        </w:tc>
        <w:tc>
          <w:tcPr>
            <w:tcW w:type="dxa" w:w="2484"/>
            <w:shd w:val="clear" w:fill="EEF4F8"/>
          </w:tcPr>
          <w:p>
            <w:pPr>
              <w:spacing w:after="20"/>
            </w:pPr>
            <w:r/>
            <w:r>
              <w:rPr>
                <w:b w:val="0"/>
                <w:sz w:val="17"/>
              </w:rPr>
              <w:t>107</w:t>
            </w:r>
          </w:p>
        </w:tc>
      </w:tr>
      <w:tr>
        <w:trPr>
          <w:cantSplit/>
        </w:trPr>
        <w:tc>
          <w:tcPr>
            <w:tcW w:type="dxa" w:w="2484"/>
          </w:tcPr>
          <w:p>
            <w:pPr>
              <w:spacing w:after="20"/>
            </w:pPr>
            <w:r/>
            <w:r>
              <w:rPr>
                <w:b w:val="0"/>
                <w:sz w:val="17"/>
              </w:rPr>
              <w:t>31–60 Days</w:t>
            </w:r>
          </w:p>
        </w:tc>
        <w:tc>
          <w:tcPr>
            <w:tcW w:type="dxa" w:w="2484"/>
          </w:tcPr>
          <w:p>
            <w:pPr>
              <w:spacing w:after="20"/>
            </w:pPr>
            <w:r/>
            <w:r>
              <w:rPr>
                <w:b w:val="0"/>
                <w:sz w:val="17"/>
              </w:rPr>
              <w:t>63</w:t>
            </w:r>
          </w:p>
        </w:tc>
        <w:tc>
          <w:tcPr>
            <w:tcW w:type="dxa" w:w="2484"/>
          </w:tcPr>
          <w:p>
            <w:pPr>
              <w:spacing w:after="20"/>
            </w:pPr>
            <w:r/>
            <w:r>
              <w:rPr>
                <w:b w:val="0"/>
                <w:sz w:val="17"/>
              </w:rPr>
              <w:t>$8,842,173</w:t>
            </w:r>
          </w:p>
        </w:tc>
        <w:tc>
          <w:tcPr>
            <w:tcW w:type="dxa" w:w="2484"/>
          </w:tcPr>
          <w:p>
            <w:pPr>
              <w:spacing w:after="20"/>
            </w:pPr>
            <w:r/>
            <w:r>
              <w:rPr>
                <w:b w:val="0"/>
                <w:sz w:val="17"/>
              </w:rPr>
              <w:t>63</w:t>
            </w:r>
          </w:p>
        </w:tc>
      </w:tr>
      <w:tr>
        <w:trPr>
          <w:cantSplit/>
        </w:trPr>
        <w:tc>
          <w:tcPr>
            <w:tcW w:type="dxa" w:w="2484"/>
            <w:shd w:val="clear" w:fill="EEF4F8"/>
          </w:tcPr>
          <w:p>
            <w:pPr>
              <w:spacing w:after="20"/>
            </w:pPr>
            <w:r/>
            <w:r>
              <w:rPr>
                <w:b w:val="0"/>
                <w:sz w:val="17"/>
              </w:rPr>
              <w:t>61–90 Days</w:t>
            </w:r>
          </w:p>
        </w:tc>
        <w:tc>
          <w:tcPr>
            <w:tcW w:type="dxa" w:w="2484"/>
            <w:shd w:val="clear" w:fill="EEF4F8"/>
          </w:tcPr>
          <w:p>
            <w:pPr>
              <w:spacing w:after="20"/>
            </w:pPr>
            <w:r/>
            <w:r>
              <w:rPr>
                <w:b w:val="0"/>
                <w:sz w:val="17"/>
              </w:rPr>
              <w:t>38</w:t>
            </w:r>
          </w:p>
        </w:tc>
        <w:tc>
          <w:tcPr>
            <w:tcW w:type="dxa" w:w="2484"/>
            <w:shd w:val="clear" w:fill="EEF4F8"/>
          </w:tcPr>
          <w:p>
            <w:pPr>
              <w:spacing w:after="20"/>
            </w:pPr>
            <w:r/>
            <w:r>
              <w:rPr>
                <w:b w:val="0"/>
                <w:sz w:val="17"/>
              </w:rPr>
              <w:t>$4,367,229</w:t>
            </w:r>
          </w:p>
        </w:tc>
        <w:tc>
          <w:tcPr>
            <w:tcW w:type="dxa" w:w="2484"/>
            <w:shd w:val="clear" w:fill="EEF4F8"/>
          </w:tcPr>
          <w:p>
            <w:pPr>
              <w:spacing w:after="20"/>
            </w:pPr>
            <w:r/>
            <w:r>
              <w:rPr>
                <w:b w:val="0"/>
                <w:sz w:val="17"/>
              </w:rPr>
              <w:t>38</w:t>
            </w:r>
          </w:p>
        </w:tc>
      </w:tr>
      <w:tr>
        <w:trPr>
          <w:cantSplit/>
        </w:trPr>
        <w:tc>
          <w:tcPr>
            <w:tcW w:type="dxa" w:w="2484"/>
          </w:tcPr>
          <w:p>
            <w:pPr>
              <w:spacing w:after="20"/>
            </w:pPr>
            <w:r/>
            <w:r>
              <w:rPr>
                <w:b w:val="0"/>
                <w:sz w:val="17"/>
              </w:rPr>
              <w:t>91–120 Days</w:t>
            </w:r>
          </w:p>
        </w:tc>
        <w:tc>
          <w:tcPr>
            <w:tcW w:type="dxa" w:w="2484"/>
          </w:tcPr>
          <w:p>
            <w:pPr>
              <w:spacing w:after="20"/>
            </w:pPr>
            <w:r/>
            <w:r>
              <w:rPr>
                <w:b w:val="0"/>
                <w:sz w:val="17"/>
              </w:rPr>
              <w:t>27</w:t>
            </w:r>
          </w:p>
        </w:tc>
        <w:tc>
          <w:tcPr>
            <w:tcW w:type="dxa" w:w="2484"/>
          </w:tcPr>
          <w:p>
            <w:pPr>
              <w:spacing w:after="20"/>
            </w:pPr>
            <w:r/>
            <w:r>
              <w:rPr>
                <w:b w:val="0"/>
                <w:sz w:val="17"/>
              </w:rPr>
              <w:t>$3,360,537</w:t>
            </w:r>
          </w:p>
        </w:tc>
        <w:tc>
          <w:tcPr>
            <w:tcW w:type="dxa" w:w="2484"/>
          </w:tcPr>
          <w:p>
            <w:pPr>
              <w:spacing w:after="20"/>
            </w:pPr>
            <w:r/>
            <w:r>
              <w:rPr>
                <w:b w:val="0"/>
                <w:sz w:val="17"/>
              </w:rPr>
              <w:t>27</w:t>
            </w:r>
          </w:p>
        </w:tc>
      </w:tr>
      <w:tr>
        <w:trPr>
          <w:cantSplit/>
        </w:trPr>
        <w:tc>
          <w:tcPr>
            <w:tcW w:type="dxa" w:w="2484"/>
            <w:shd w:val="clear" w:fill="EEF4F8"/>
          </w:tcPr>
          <w:p>
            <w:pPr>
              <w:spacing w:after="20"/>
            </w:pPr>
            <w:r/>
            <w:r>
              <w:rPr>
                <w:b w:val="0"/>
                <w:sz w:val="17"/>
              </w:rPr>
              <w:t>120+ Days</w:t>
            </w:r>
          </w:p>
        </w:tc>
        <w:tc>
          <w:tcPr>
            <w:tcW w:type="dxa" w:w="2484"/>
            <w:shd w:val="clear" w:fill="EEF4F8"/>
          </w:tcPr>
          <w:p>
            <w:pPr>
              <w:spacing w:after="20"/>
            </w:pPr>
            <w:r/>
            <w:r>
              <w:rPr>
                <w:b w:val="0"/>
                <w:sz w:val="17"/>
              </w:rPr>
              <w:t>248</w:t>
            </w:r>
          </w:p>
        </w:tc>
        <w:tc>
          <w:tcPr>
            <w:tcW w:type="dxa" w:w="2484"/>
            <w:shd w:val="clear" w:fill="EEF4F8"/>
          </w:tcPr>
          <w:p>
            <w:pPr>
              <w:spacing w:after="20"/>
            </w:pPr>
            <w:r/>
            <w:r>
              <w:rPr>
                <w:b w:val="0"/>
                <w:sz w:val="17"/>
              </w:rPr>
              <w:t>$29,739,586</w:t>
            </w:r>
          </w:p>
        </w:tc>
        <w:tc>
          <w:tcPr>
            <w:tcW w:type="dxa" w:w="2484"/>
            <w:shd w:val="clear" w:fill="EEF4F8"/>
          </w:tcPr>
          <w:p>
            <w:pPr>
              <w:spacing w:after="20"/>
            </w:pPr>
            <w:r/>
            <w:r>
              <w:rPr>
                <w:b w:val="0"/>
                <w:sz w:val="17"/>
              </w:rPr>
              <w:t>248</w:t>
            </w:r>
          </w:p>
        </w:tc>
      </w:tr>
      <w:tr>
        <w:trPr>
          <w:cantSplit/>
        </w:trPr>
        <w:tc>
          <w:tcPr>
            <w:tcW w:type="dxa" w:w="2484"/>
          </w:tcPr>
          <w:p>
            <w:pPr>
              <w:spacing w:after="20"/>
            </w:pPr>
            <w:r/>
            <w:r>
              <w:rPr>
                <w:b w:val="0"/>
                <w:sz w:val="17"/>
              </w:rPr>
              <w:t>Cleared</w:t>
            </w:r>
          </w:p>
        </w:tc>
        <w:tc>
          <w:tcPr>
            <w:tcW w:type="dxa" w:w="2484"/>
          </w:tcPr>
          <w:p>
            <w:pPr>
              <w:spacing w:after="20"/>
            </w:pPr>
            <w:r/>
            <w:r>
              <w:rPr>
                <w:b w:val="0"/>
                <w:sz w:val="17"/>
              </w:rPr>
              <w:t>2,983</w:t>
            </w:r>
          </w:p>
        </w:tc>
        <w:tc>
          <w:tcPr>
            <w:tcW w:type="dxa" w:w="2484"/>
          </w:tcPr>
          <w:p>
            <w:pPr>
              <w:spacing w:after="20"/>
            </w:pPr>
            <w:r/>
            <w:r>
              <w:rPr>
                <w:b w:val="0"/>
                <w:sz w:val="17"/>
              </w:rPr>
              <w:t>$0</w:t>
            </w:r>
          </w:p>
        </w:tc>
        <w:tc>
          <w:tcPr>
            <w:tcW w:type="dxa" w:w="2484"/>
          </w:tcPr>
          <w:p>
            <w:pPr>
              <w:spacing w:after="20"/>
            </w:pPr>
            <w:r/>
            <w:r>
              <w:rPr>
                <w:b w:val="0"/>
                <w:sz w:val="17"/>
              </w:rPr>
              <w:t>0</w:t>
            </w:r>
          </w:p>
        </w:tc>
      </w:tr>
      <w:tr>
        <w:trPr>
          <w:cantSplit/>
        </w:trPr>
        <w:tc>
          <w:tcPr>
            <w:tcW w:type="dxa" w:w="2484"/>
            <w:shd w:val="clear" w:fill="EEF4F8"/>
          </w:tcPr>
          <w:p>
            <w:pPr>
              <w:spacing w:after="20"/>
            </w:pPr>
            <w:r/>
            <w:r>
              <w:rPr>
                <w:b/>
                <w:sz w:val="17"/>
              </w:rPr>
              <w:t>Total</w:t>
            </w:r>
          </w:p>
        </w:tc>
        <w:tc>
          <w:tcPr>
            <w:tcW w:type="dxa" w:w="2484"/>
            <w:shd w:val="clear" w:fill="EEF4F8"/>
          </w:tcPr>
          <w:p>
            <w:pPr>
              <w:spacing w:after="20"/>
            </w:pPr>
            <w:r/>
            <w:r>
              <w:rPr>
                <w:b/>
                <w:sz w:val="17"/>
              </w:rPr>
              <w:t>3,868</w:t>
            </w:r>
          </w:p>
        </w:tc>
        <w:tc>
          <w:tcPr>
            <w:tcW w:type="dxa" w:w="2484"/>
            <w:shd w:val="clear" w:fill="EEF4F8"/>
          </w:tcPr>
          <w:p>
            <w:pPr>
              <w:spacing w:after="20"/>
            </w:pPr>
            <w:r/>
            <w:r>
              <w:rPr>
                <w:b/>
                <w:sz w:val="17"/>
              </w:rPr>
              <w:t>$112,304,759</w:t>
            </w:r>
          </w:p>
        </w:tc>
        <w:tc>
          <w:tcPr>
            <w:tcW w:type="dxa" w:w="2484"/>
            <w:shd w:val="clear" w:fill="EEF4F8"/>
          </w:tcPr>
          <w:p>
            <w:pPr>
              <w:spacing w:after="20"/>
            </w:pPr>
            <w:r/>
            <w:r>
              <w:rPr>
                <w:b/>
                <w:sz w:val="17"/>
              </w:rPr>
              <w:t>483</w:t>
            </w:r>
          </w:p>
        </w:tc>
      </w:tr>
    </w:tbl>
    <w:p>
      <w:pPr>
        <w:spacing w:after="80"/>
      </w:pPr>
    </w:p>
    <w:p>
      <w:pPr>
        <w:spacing w:after="120"/>
      </w:pPr>
      <w:r>
        <w:rPr>
          <w:b w:val="0"/>
          <w:i w:val="0"/>
          <w:sz w:val="20"/>
        </w:rPr>
        <w:t xml:space="preserve">The open-amount column sums to exactly the independently extracted </w:t>
      </w:r>
      <w:r>
        <w:rPr>
          <w:rFonts w:ascii="Consolas" w:hAnsi="Consolas"/>
          <w:b w:val="0"/>
          <w:i w:val="0"/>
          <w:color w:val="1B5E8C"/>
          <w:sz w:val="19"/>
        </w:rPr>
        <w:t>SUM(OPENAMOUNT)</w:t>
      </w:r>
      <w:r>
        <w:rPr>
          <w:b w:val="0"/>
          <w:i w:val="0"/>
          <w:sz w:val="20"/>
        </w:rPr>
        <w:t xml:space="preserve"> of $112,304,759, and the overdue flags sum to exactly the independently extracted overdue count of 483. Two reconciliations that hold.</w:t>
      </w:r>
    </w:p>
    <w:p>
      <w:pPr>
        <w:spacing w:after="120"/>
      </w:pPr>
      <w:r>
        <w:rPr>
          <w:b w:val="0"/>
          <w:i w:val="0"/>
          <w:sz w:val="20"/>
        </w:rPr>
        <w:t>The distribution has the same shape as AP — 248 of 483 overdue invoices, and $29.7m of $59.8m overdue value, in the oldest bucket. The oldest bucket being the largest in both AP and AR is a property of how this data was generated, not an independent finding repeated twice.</w:t>
      </w:r>
    </w:p>
    <w:p>
      <w:pPr>
        <w:spacing w:after="120"/>
      </w:pPr>
      <w:r>
        <w:rPr>
          <w:rFonts w:ascii="Consolas" w:hAnsi="Consolas"/>
          <w:b w:val="0"/>
          <w:i w:val="0"/>
          <w:color w:val="1B5E8C"/>
          <w:sz w:val="19"/>
        </w:rPr>
        <w:t>Cleared</w:t>
      </w:r>
      <w:r>
        <w:rPr>
          <w:b w:val="0"/>
          <w:i w:val="0"/>
          <w:sz w:val="20"/>
        </w:rPr>
        <w:t xml:space="preserve"> at 2,983 invoices is 77% of the object and carries zero open amount. Any AR average computed without excluding it is divided by a denominator four times too large.</w:t>
      </w:r>
    </w:p>
    <w:p>
      <w:pPr>
        <w:spacing w:before="80" w:after="160"/>
        <w:jc w:val="center"/>
      </w:pPr>
      <w:r>
        <w:rPr>
          <w:color w:val="C8D4DE"/>
          <w:sz w:val="12"/>
        </w:rPr>
        <w:t>──────────────────────────────────────────────────────────</w:t>
      </w:r>
    </w:p>
    <w:p>
      <w:pPr>
        <w:keepNext/>
        <w:spacing w:before="240" w:after="60"/>
        <w:outlineLvl w:val="1"/>
      </w:pPr>
      <w:r>
        <w:rPr>
          <w:b/>
          <w:color w:val="1B3A57"/>
          <w:sz w:val="23"/>
        </w:rPr>
        <w:t>The app straddles two layers</w:t>
      </w:r>
    </w:p>
    <w:p>
      <w:pPr>
        <w:spacing w:after="120"/>
      </w:pPr>
      <w:r>
        <w:rPr>
          <w:b w:val="0"/>
          <w:i w:val="0"/>
          <w:sz w:val="20"/>
        </w:rPr>
        <w:t xml:space="preserve">The Express server's </w:t>
      </w:r>
      <w:r>
        <w:rPr>
          <w:rFonts w:ascii="Consolas" w:hAnsi="Consolas"/>
          <w:b w:val="0"/>
          <w:i w:val="0"/>
          <w:color w:val="1B5E8C"/>
          <w:sz w:val="19"/>
        </w:rPr>
        <w:t>api.ts</w:t>
      </w:r>
      <w:r>
        <w:rPr>
          <w:b w:val="0"/>
          <w:i w:val="0"/>
          <w:sz w:val="20"/>
        </w:rPr>
        <w:t xml:space="preserve"> reads both the L0 shares and L2, in almost equal measure:</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r>
          </w:p>
        </w:tc>
        <w:tc>
          <w:tcPr>
            <w:tcW w:type="dxa" w:w="7056"/>
            <w:shd w:val="clear" w:fill="1B3A57"/>
          </w:tcPr>
          <w:p>
            <w:pPr>
              <w:spacing w:after="20"/>
            </w:pPr>
            <w:r/>
            <w:r>
              <w:rPr>
                <w:b/>
                <w:color w:val="FFFFFF"/>
                <w:sz w:val="17"/>
              </w:rPr>
              <w:t>FROM clauses</w:t>
            </w:r>
          </w:p>
        </w:tc>
      </w:tr>
      <w:tr>
        <w:trPr>
          <w:cantSplit/>
        </w:trPr>
        <w:tc>
          <w:tcPr>
            <w:tcW w:type="dxa" w:w="2880"/>
          </w:tcPr>
          <w:p>
            <w:pPr>
              <w:spacing w:after="20"/>
            </w:pPr>
            <w:r/>
            <w:r>
              <w:rPr>
                <w:b w:val="0"/>
                <w:sz w:val="17"/>
              </w:rPr>
              <w:t xml:space="preserve">Directly against </w:t>
            </w:r>
            <w:r>
              <w:rPr>
                <w:rFonts w:ascii="Consolas" w:hAnsi="Consolas"/>
                <w:b w:val="0"/>
                <w:color w:val="1B5E8C"/>
                <w:sz w:val="16"/>
              </w:rPr>
              <w:t>SAP_BDC_DEMO_*</w:t>
            </w:r>
            <w:r>
              <w:rPr>
                <w:b w:val="0"/>
                <w:sz w:val="17"/>
              </w:rPr>
              <w:t xml:space="preserve"> shares (L0)</w:t>
            </w:r>
          </w:p>
        </w:tc>
        <w:tc>
          <w:tcPr>
            <w:tcW w:type="dxa" w:w="7056"/>
          </w:tcPr>
          <w:p>
            <w:pPr>
              <w:spacing w:after="20"/>
            </w:pPr>
            <w:r/>
            <w:r>
              <w:rPr>
                <w:b/>
                <w:sz w:val="17"/>
              </w:rPr>
              <w:t>21</w:t>
            </w:r>
          </w:p>
        </w:tc>
      </w:tr>
      <w:tr>
        <w:trPr>
          <w:cantSplit/>
        </w:trPr>
        <w:tc>
          <w:tcPr>
            <w:tcW w:type="dxa" w:w="2880"/>
            <w:shd w:val="clear" w:fill="EEF4F8"/>
          </w:tcPr>
          <w:p>
            <w:pPr>
              <w:spacing w:after="20"/>
            </w:pPr>
            <w:r/>
            <w:r>
              <w:rPr>
                <w:b w:val="0"/>
                <w:sz w:val="17"/>
              </w:rPr>
              <w:t xml:space="preserve">Against </w:t>
            </w:r>
            <w:r>
              <w:rPr>
                <w:rFonts w:ascii="Consolas" w:hAnsi="Consolas"/>
                <w:b w:val="0"/>
                <w:color w:val="1B5E8C"/>
                <w:sz w:val="16"/>
              </w:rPr>
              <w:t>SAP_FINANCE_360.ANALYTICS</w:t>
            </w:r>
            <w:r>
              <w:rPr>
                <w:b w:val="0"/>
                <w:sz w:val="17"/>
              </w:rPr>
              <w:t xml:space="preserve"> (L2)</w:t>
            </w:r>
          </w:p>
        </w:tc>
        <w:tc>
          <w:tcPr>
            <w:tcW w:type="dxa" w:w="7056"/>
            <w:shd w:val="clear" w:fill="EEF4F8"/>
          </w:tcPr>
          <w:p>
            <w:pPr>
              <w:spacing w:after="20"/>
            </w:pPr>
            <w:r/>
            <w:r>
              <w:rPr>
                <w:b/>
                <w:sz w:val="17"/>
              </w:rPr>
              <w:t>20</w:t>
            </w:r>
          </w:p>
        </w:tc>
      </w:tr>
    </w:tbl>
    <w:p>
      <w:pPr>
        <w:spacing w:after="80"/>
      </w:pPr>
    </w:p>
    <w:p>
      <w:pPr>
        <w:spacing w:after="120"/>
      </w:pPr>
      <w:r>
        <w:rPr>
          <w:b w:val="0"/>
          <w:i w:val="0"/>
          <w:sz w:val="20"/>
        </w:rPr>
        <w:t xml:space="preserve">The single largest source is </w:t>
      </w:r>
      <w:r>
        <w:rPr>
          <w:rFonts w:ascii="Consolas" w:hAnsi="Consolas"/>
          <w:b w:val="0"/>
          <w:i w:val="0"/>
          <w:color w:val="1B5E8C"/>
          <w:sz w:val="19"/>
        </w:rPr>
        <w:t>OPERATIONALACCTGDOCITEM</w:t>
      </w:r>
      <w:r>
        <w:rPr>
          <w:b w:val="0"/>
          <w:i w:val="0"/>
          <w:sz w:val="20"/>
        </w:rPr>
        <w:t xml:space="preserve"> at 13 clauses — an L0 object, not an L2 one.</w:t>
      </w:r>
    </w:p>
    <w:p>
      <w:pPr>
        <w:spacing w:after="120"/>
      </w:pPr>
      <w:r>
        <w:rPr>
          <w:b w:val="0"/>
          <w:i w:val="0"/>
          <w:sz w:val="20"/>
        </w:rPr>
        <w:t>This was a deliberate choice and it demonstrates the zero-copy claim in the most direct way available: a third of the application's queries execute against the provider's storage, with no copy anywhere in the path. Page 9, BDC Sources &amp; Lineage, exists to make that visible.</w:t>
      </w:r>
    </w:p>
    <w:p>
      <w:pPr>
        <w:spacing w:after="120"/>
      </w:pPr>
      <w:r>
        <w:rPr>
          <w:b w:val="0"/>
          <w:i w:val="0"/>
          <w:sz w:val="20"/>
        </w:rPr>
        <w:t>It carries two costs.</w:t>
      </w:r>
    </w:p>
    <w:p>
      <w:pPr>
        <w:spacing w:after="120"/>
      </w:pPr>
      <w:r>
        <w:rPr>
          <w:b/>
          <w:i w:val="0"/>
          <w:sz w:val="20"/>
        </w:rPr>
        <w:t>The sign discipline is duplicated.</w:t>
      </w:r>
      <w:r>
        <w:rPr>
          <w:b w:val="0"/>
          <w:i w:val="0"/>
          <w:sz w:val="20"/>
        </w:rPr>
        <w:t xml:space="preserve"> Those 21 clauses do not inherit L2's </w:t>
      </w:r>
      <w:r>
        <w:rPr>
          <w:rFonts w:ascii="Consolas" w:hAnsi="Consolas"/>
          <w:b w:val="0"/>
          <w:i w:val="0"/>
          <w:color w:val="1B5E8C"/>
          <w:sz w:val="19"/>
        </w:rPr>
        <w:t>ABS</w:t>
      </w:r>
      <w:r>
        <w:rPr>
          <w:b w:val="0"/>
          <w:i w:val="0"/>
          <w:sz w:val="20"/>
        </w:rPr>
        <w:t xml:space="preserve"> and </w:t>
      </w:r>
      <w:r>
        <w:rPr>
          <w:rFonts w:ascii="Consolas" w:hAnsi="Consolas"/>
          <w:b w:val="0"/>
          <w:i w:val="0"/>
          <w:color w:val="1B5E8C"/>
          <w:sz w:val="19"/>
        </w:rPr>
        <w:t>DEBITCREDITCODE</w:t>
      </w:r>
      <w:r>
        <w:rPr>
          <w:b w:val="0"/>
          <w:i w:val="0"/>
          <w:sz w:val="20"/>
        </w:rPr>
        <w:t xml:space="preserve"> handling. Every one of them has to get it right independently, and a new query added against </w:t>
      </w:r>
      <w:r>
        <w:rPr>
          <w:rFonts w:ascii="Consolas" w:hAnsi="Consolas"/>
          <w:b w:val="0"/>
          <w:i w:val="0"/>
          <w:color w:val="1B5E8C"/>
          <w:sz w:val="19"/>
        </w:rPr>
        <w:t>OPERATIONALACCTGDOCITEM</w:t>
      </w:r>
      <w:r>
        <w:rPr>
          <w:b w:val="0"/>
          <w:i w:val="0"/>
          <w:sz w:val="20"/>
        </w:rPr>
        <w:t xml:space="preserve"> is a fresh opportunity to get it wrong silently.</w:t>
      </w:r>
    </w:p>
    <w:p>
      <w:pPr>
        <w:spacing w:after="120"/>
      </w:pPr>
      <w:r>
        <w:rPr>
          <w:b/>
          <w:i w:val="0"/>
          <w:sz w:val="20"/>
        </w:rPr>
        <w:t>Two L2 objects are read by nothing.</w:t>
      </w:r>
      <w:r>
        <w:rPr>
          <w:b w:val="0"/>
          <w:i w:val="0"/>
          <w:sz w:val="20"/>
        </w:rPr>
        <w:t xml:space="preserve"> </w:t>
      </w:r>
      <w:r>
        <w:rPr>
          <w:rFonts w:ascii="Consolas" w:hAnsi="Consolas"/>
          <w:b w:val="0"/>
          <w:i w:val="0"/>
          <w:color w:val="1B5E8C"/>
          <w:sz w:val="19"/>
        </w:rPr>
        <w:t>DT_GL_BALANCE</w:t>
      </w:r>
      <w:r>
        <w:rPr>
          <w:b w:val="0"/>
          <w:i w:val="0"/>
          <w:sz w:val="20"/>
        </w:rPr>
        <w:t xml:space="preserve"> (1,793 rows) and </w:t>
      </w:r>
      <w:r>
        <w:rPr>
          <w:rFonts w:ascii="Consolas" w:hAnsi="Consolas"/>
          <w:b w:val="0"/>
          <w:i w:val="0"/>
          <w:color w:val="1B5E8C"/>
          <w:sz w:val="19"/>
        </w:rPr>
        <w:t>DT_PNL_SUMMARY</w:t>
      </w:r>
      <w:r>
        <w:rPr>
          <w:b w:val="0"/>
          <w:i w:val="0"/>
          <w:sz w:val="20"/>
        </w:rPr>
        <w:t xml:space="preserve"> (81 rows) appear in no </w:t>
      </w:r>
      <w:r>
        <w:rPr>
          <w:rFonts w:ascii="Consolas" w:hAnsi="Consolas"/>
          <w:b w:val="0"/>
          <w:i w:val="0"/>
          <w:color w:val="1B5E8C"/>
          <w:sz w:val="19"/>
        </w:rPr>
        <w:t>FROM</w:t>
      </w:r>
      <w:r>
        <w:rPr>
          <w:b w:val="0"/>
          <w:i w:val="0"/>
          <w:sz w:val="20"/>
        </w:rPr>
        <w:t xml:space="preserve"> clause. The General Ledger and Period Analysis pages compute from L0 instead of reading the matching aggregate. Those two dynamic tables are maintained, refreshed and unused by the application.</w:t>
      </w:r>
    </w:p>
    <w:p>
      <w:pPr>
        <w:spacing w:after="120"/>
      </w:pPr>
      <w:r>
        <w:rPr>
          <w:b w:val="0"/>
          <w:i w:val="0"/>
          <w:sz w:val="20"/>
        </w:rPr>
        <w:t xml:space="preserve">That is not automatically wrong — </w:t>
      </w:r>
      <w:r>
        <w:rPr>
          <w:rFonts w:ascii="Consolas" w:hAnsi="Consolas"/>
          <w:b w:val="0"/>
          <w:i w:val="0"/>
          <w:color w:val="1B5E8C"/>
          <w:sz w:val="19"/>
        </w:rPr>
        <w:t>DT_PNL_SUMMARY</w:t>
      </w:r>
      <w:r>
        <w:rPr>
          <w:b w:val="0"/>
          <w:i w:val="0"/>
          <w:sz w:val="20"/>
        </w:rPr>
        <w:t xml:space="preserve"> is the object this handbook reconciles against, so it earns its keep as a control total. But it means the dynamic-table refresh cost is being paid for objects no page reads, and a reviewer who assumes "the app reads L2" will misjudge both the app and the refresh footprint.</w:t>
      </w:r>
    </w:p>
    <w:p>
      <w:pPr>
        <w:spacing w:before="80" w:after="160"/>
        <w:jc w:val="center"/>
      </w:pPr>
      <w:r>
        <w:rPr>
          <w:color w:val="C8D4DE"/>
          <w:sz w:val="12"/>
        </w:rPr>
        <w:t>──────────────────────────────────────────────────────────</w:t>
      </w:r>
    </w:p>
    <w:p>
      <w:pPr>
        <w:keepNext/>
        <w:spacing w:before="240" w:after="60"/>
        <w:outlineLvl w:val="1"/>
      </w:pPr>
      <w:r>
        <w:rPr>
          <w:b/>
          <w:color w:val="1B3A57"/>
          <w:sz w:val="23"/>
        </w:rPr>
        <w:t>Two semantic views, and neither is complete</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r>
          </w:p>
        </w:tc>
        <w:tc>
          <w:tcPr>
            <w:tcW w:type="dxa" w:w="3528"/>
            <w:shd w:val="clear" w:fill="1B3A57"/>
          </w:tcPr>
          <w:p>
            <w:pPr>
              <w:spacing w:after="20"/>
            </w:pPr>
            <w:r/>
            <w:r>
              <w:rPr>
                <w:b/>
                <w:color w:val="FFFFFF"/>
                <w:sz w:val="17"/>
              </w:rPr>
              <w:t>ANALYTICS.SAP_FINANCE_360</w:t>
            </w:r>
          </w:p>
        </w:tc>
        <w:tc>
          <w:tcPr>
            <w:tcW w:type="dxa" w:w="3528"/>
            <w:shd w:val="clear" w:fill="1B3A57"/>
          </w:tcPr>
          <w:p>
            <w:pPr>
              <w:spacing w:after="20"/>
            </w:pPr>
            <w:r/>
            <w:r>
              <w:rPr>
                <w:b/>
                <w:color w:val="FFFFFF"/>
                <w:sz w:val="17"/>
              </w:rPr>
              <w:t>SEMANTIC.SAP_FINANCE_360_ANALYTICS</w:t>
            </w:r>
          </w:p>
        </w:tc>
      </w:tr>
      <w:tr>
        <w:trPr>
          <w:cantSplit/>
        </w:trPr>
        <w:tc>
          <w:tcPr>
            <w:tcW w:type="dxa" w:w="2880"/>
          </w:tcPr>
          <w:p>
            <w:pPr>
              <w:spacing w:after="20"/>
            </w:pPr>
            <w:r/>
            <w:r>
              <w:rPr>
                <w:b w:val="0"/>
                <w:sz w:val="17"/>
              </w:rPr>
              <w:t>Logical tables</w:t>
            </w:r>
          </w:p>
        </w:tc>
        <w:tc>
          <w:tcPr>
            <w:tcW w:type="dxa" w:w="3528"/>
          </w:tcPr>
          <w:p>
            <w:pPr>
              <w:spacing w:after="20"/>
            </w:pPr>
            <w:r/>
            <w:r>
              <w:rPr>
                <w:b w:val="0"/>
                <w:sz w:val="17"/>
              </w:rPr>
              <w:t>4</w:t>
            </w:r>
          </w:p>
        </w:tc>
        <w:tc>
          <w:tcPr>
            <w:tcW w:type="dxa" w:w="3528"/>
          </w:tcPr>
          <w:p>
            <w:pPr>
              <w:spacing w:after="20"/>
            </w:pPr>
            <w:r/>
            <w:r>
              <w:rPr>
                <w:b w:val="0"/>
                <w:sz w:val="17"/>
              </w:rPr>
              <w:t>5</w:t>
            </w:r>
          </w:p>
        </w:tc>
      </w:tr>
      <w:tr>
        <w:trPr>
          <w:cantSplit/>
        </w:trPr>
        <w:tc>
          <w:tcPr>
            <w:tcW w:type="dxa" w:w="2880"/>
            <w:shd w:val="clear" w:fill="EEF4F8"/>
          </w:tcPr>
          <w:p>
            <w:pPr>
              <w:spacing w:after="20"/>
            </w:pPr>
            <w:r/>
            <w:r>
              <w:rPr>
                <w:b w:val="0"/>
                <w:sz w:val="17"/>
              </w:rPr>
              <w:t>Table names</w:t>
            </w:r>
          </w:p>
        </w:tc>
        <w:tc>
          <w:tcPr>
            <w:tcW w:type="dxa" w:w="3528"/>
            <w:shd w:val="clear" w:fill="EEF4F8"/>
          </w:tcPr>
          <w:p>
            <w:pPr>
              <w:spacing w:after="20"/>
            </w:pPr>
            <w:r/>
            <w:r>
              <w:rPr>
                <w:rFonts w:ascii="Consolas" w:hAnsi="Consolas"/>
                <w:b w:val="0"/>
                <w:color w:val="1B5E8C"/>
                <w:sz w:val="16"/>
              </w:rPr>
              <w:t>AR</w:t>
            </w:r>
            <w:r>
              <w:rPr>
                <w:b w:val="0"/>
                <w:sz w:val="17"/>
              </w:rPr>
              <w:t xml:space="preserve">, </w:t>
            </w:r>
            <w:r>
              <w:rPr>
                <w:rFonts w:ascii="Consolas" w:hAnsi="Consolas"/>
                <w:b w:val="0"/>
                <w:color w:val="1B5E8C"/>
                <w:sz w:val="16"/>
              </w:rPr>
              <w:t>EXPENSE</w:t>
            </w:r>
            <w:r>
              <w:rPr>
                <w:b w:val="0"/>
                <w:sz w:val="17"/>
              </w:rPr>
              <w:t xml:space="preserve">, </w:t>
            </w:r>
            <w:r>
              <w:rPr>
                <w:rFonts w:ascii="Consolas" w:hAnsi="Consolas"/>
                <w:b w:val="0"/>
                <w:color w:val="1B5E8C"/>
                <w:sz w:val="16"/>
              </w:rPr>
              <w:t>JOURNAL</w:t>
            </w:r>
            <w:r>
              <w:rPr>
                <w:b w:val="0"/>
                <w:sz w:val="17"/>
              </w:rPr>
              <w:t xml:space="preserve">, </w:t>
            </w:r>
            <w:r>
              <w:rPr>
                <w:rFonts w:ascii="Consolas" w:hAnsi="Consolas"/>
                <w:b w:val="0"/>
                <w:color w:val="1B5E8C"/>
                <w:sz w:val="16"/>
              </w:rPr>
              <w:t>REVENUE</w:t>
            </w:r>
          </w:p>
        </w:tc>
        <w:tc>
          <w:tcPr>
            <w:tcW w:type="dxa" w:w="3528"/>
            <w:shd w:val="clear" w:fill="EEF4F8"/>
          </w:tcPr>
          <w:p>
            <w:pPr>
              <w:spacing w:after="20"/>
            </w:pPr>
            <w:r/>
            <w:r>
              <w:rPr>
                <w:rFonts w:ascii="Consolas" w:hAnsi="Consolas"/>
                <w:b w:val="0"/>
                <w:color w:val="1B5E8C"/>
                <w:sz w:val="16"/>
              </w:rPr>
              <w:t>AP_AGING</w:t>
            </w:r>
            <w:r>
              <w:rPr>
                <w:b w:val="0"/>
                <w:sz w:val="17"/>
              </w:rPr>
              <w:t xml:space="preserve">, </w:t>
            </w:r>
            <w:r>
              <w:rPr>
                <w:rFonts w:ascii="Consolas" w:hAnsi="Consolas"/>
                <w:b w:val="0"/>
                <w:color w:val="1B5E8C"/>
                <w:sz w:val="16"/>
              </w:rPr>
              <w:t>EXPENSE_BY_COSTCENTER</w:t>
            </w:r>
            <w:r>
              <w:rPr>
                <w:b w:val="0"/>
                <w:sz w:val="17"/>
              </w:rPr>
              <w:t xml:space="preserve">, </w:t>
            </w:r>
            <w:r>
              <w:rPr>
                <w:rFonts w:ascii="Consolas" w:hAnsi="Consolas"/>
                <w:b w:val="0"/>
                <w:color w:val="1B5E8C"/>
                <w:sz w:val="16"/>
              </w:rPr>
              <w:t>JOURNAL_ENTRY</w:t>
            </w:r>
            <w:r>
              <w:rPr>
                <w:b w:val="0"/>
                <w:sz w:val="17"/>
              </w:rPr>
              <w:t xml:space="preserve">, </w:t>
            </w:r>
            <w:r>
              <w:rPr>
                <w:rFonts w:ascii="Consolas" w:hAnsi="Consolas"/>
                <w:b w:val="0"/>
                <w:color w:val="1B5E8C"/>
                <w:sz w:val="16"/>
              </w:rPr>
              <w:t>PNL_SUMMARY</w:t>
            </w:r>
            <w:r>
              <w:rPr>
                <w:b w:val="0"/>
                <w:sz w:val="17"/>
              </w:rPr>
              <w:t xml:space="preserve">, </w:t>
            </w:r>
            <w:r>
              <w:rPr>
                <w:rFonts w:ascii="Consolas" w:hAnsi="Consolas"/>
                <w:b w:val="0"/>
                <w:color w:val="1B5E8C"/>
                <w:sz w:val="16"/>
              </w:rPr>
              <w:t>REVENUE_BY_PROFITCENTER</w:t>
            </w:r>
          </w:p>
        </w:tc>
      </w:tr>
      <w:tr>
        <w:trPr>
          <w:cantSplit/>
        </w:trPr>
        <w:tc>
          <w:tcPr>
            <w:tcW w:type="dxa" w:w="2880"/>
          </w:tcPr>
          <w:p>
            <w:pPr>
              <w:spacing w:after="20"/>
            </w:pPr>
            <w:r/>
            <w:r>
              <w:rPr>
                <w:b w:val="0"/>
                <w:sz w:val="17"/>
              </w:rPr>
              <w:t>Relationships</w:t>
            </w:r>
          </w:p>
        </w:tc>
        <w:tc>
          <w:tcPr>
            <w:tcW w:type="dxa" w:w="3528"/>
          </w:tcPr>
          <w:p>
            <w:pPr>
              <w:spacing w:after="20"/>
            </w:pPr>
            <w:r/>
            <w:r>
              <w:rPr>
                <w:b/>
                <w:sz w:val="17"/>
              </w:rPr>
              <w:t>0</w:t>
            </w:r>
          </w:p>
        </w:tc>
        <w:tc>
          <w:tcPr>
            <w:tcW w:type="dxa" w:w="3528"/>
          </w:tcPr>
          <w:p>
            <w:pPr>
              <w:spacing w:after="20"/>
            </w:pPr>
            <w:r/>
            <w:r>
              <w:rPr>
                <w:b w:val="0"/>
                <w:sz w:val="17"/>
              </w:rPr>
              <w:t>12</w:t>
            </w:r>
          </w:p>
        </w:tc>
      </w:tr>
      <w:tr>
        <w:trPr>
          <w:cantSplit/>
        </w:trPr>
        <w:tc>
          <w:tcPr>
            <w:tcW w:type="dxa" w:w="2880"/>
            <w:shd w:val="clear" w:fill="EEF4F8"/>
          </w:tcPr>
          <w:p>
            <w:pPr>
              <w:spacing w:after="20"/>
            </w:pPr>
            <w:r/>
            <w:r>
              <w:rPr>
                <w:b w:val="0"/>
                <w:sz w:val="17"/>
              </w:rPr>
              <w:t>Metrics</w:t>
            </w:r>
          </w:p>
        </w:tc>
        <w:tc>
          <w:tcPr>
            <w:tcW w:type="dxa" w:w="3528"/>
            <w:shd w:val="clear" w:fill="EEF4F8"/>
          </w:tcPr>
          <w:p>
            <w:pPr>
              <w:spacing w:after="20"/>
            </w:pPr>
            <w:r/>
            <w:r>
              <w:rPr>
                <w:b w:val="0"/>
                <w:sz w:val="17"/>
              </w:rPr>
              <w:t>45</w:t>
            </w:r>
          </w:p>
        </w:tc>
        <w:tc>
          <w:tcPr>
            <w:tcW w:type="dxa" w:w="3528"/>
            <w:shd w:val="clear" w:fill="EEF4F8"/>
          </w:tcPr>
          <w:p>
            <w:pPr>
              <w:spacing w:after="20"/>
            </w:pPr>
            <w:r/>
            <w:r>
              <w:rPr>
                <w:b/>
                <w:sz w:val="17"/>
              </w:rPr>
              <w:t>0</w:t>
            </w:r>
          </w:p>
        </w:tc>
      </w:tr>
    </w:tbl>
    <w:p>
      <w:pPr>
        <w:spacing w:after="80"/>
      </w:pPr>
    </w:p>
    <w:p>
      <w:pPr>
        <w:spacing w:after="120"/>
      </w:pPr>
      <w:r>
        <w:rPr>
          <w:b w:val="0"/>
          <w:i w:val="0"/>
          <w:sz w:val="20"/>
        </w:rPr>
        <w:t xml:space="preserve">The two are complements rather than versions. One has the metrics and cannot join; the other can join and has no metrics. Neither exposes </w:t>
      </w:r>
      <w:r>
        <w:rPr>
          <w:rFonts w:ascii="Consolas" w:hAnsi="Consolas"/>
          <w:b w:val="0"/>
          <w:i w:val="0"/>
          <w:color w:val="1B5E8C"/>
          <w:sz w:val="19"/>
        </w:rPr>
        <w:t>DT_GL_BALANCE</w:t>
      </w:r>
      <w:r>
        <w:rPr>
          <w:b w:val="0"/>
          <w:i w:val="0"/>
          <w:sz w:val="20"/>
        </w:rPr>
        <w:t>.</w:t>
      </w:r>
    </w:p>
    <w:p>
      <w:pPr>
        <w:spacing w:after="120"/>
      </w:pPr>
      <w:r>
        <w:rPr>
          <w:b w:val="0"/>
          <w:i w:val="0"/>
          <w:sz w:val="20"/>
        </w:rPr>
        <w:t>Neither is a subset of the other, so "use the newer one" is not available as advice. A question needing a metric and a join across two tables cannot be answered by either view alone.</w:t>
      </w:r>
    </w:p>
    <w:p>
      <w:pPr>
        <w:spacing w:after="120"/>
      </w:pPr>
      <w:r>
        <w:rPr>
          <w:b w:val="0"/>
          <w:i w:val="0"/>
          <w:sz w:val="20"/>
        </w:rPr>
        <w:t>This is the least defensible part of the stack. It is not a discovery about SAP or about Snowflake — it is where iteration stopped. If you are reproducing this pattern, build one view with both the relationships and the metrics.</w:t>
      </w:r>
    </w:p>
    <w:p>
      <w:pPr>
        <w:spacing w:after="120"/>
      </w:pPr>
      <w:r>
        <w:rPr>
          <w:b w:val="0"/>
          <w:i w:val="0"/>
          <w:sz w:val="20"/>
        </w:rPr>
        <w:t xml:space="preserve">The </w:t>
      </w:r>
      <w:r>
        <w:rPr>
          <w:rFonts w:ascii="Consolas" w:hAnsi="Consolas"/>
          <w:b w:val="0"/>
          <w:i w:val="0"/>
          <w:color w:val="1B5E8C"/>
          <w:sz w:val="19"/>
        </w:rPr>
        <w:t>DESCRIBE SEMANTIC VIEW</w:t>
      </w:r>
      <w:r>
        <w:rPr>
          <w:b w:val="0"/>
          <w:i w:val="0"/>
          <w:sz w:val="20"/>
        </w:rPr>
        <w:t xml:space="preserve"> dimension tallies — 120 and 251 — are large because SAP source objects are wide and each retained column becomes a dimension. Read them as describe-output row counts, not as a count of curated dimensions; nobody wrote 251 dimension descriptions.</w:t>
      </w:r>
    </w:p>
    <w:p>
      <w:pPr>
        <w:spacing w:before="80" w:after="160"/>
        <w:jc w:val="center"/>
      </w:pPr>
      <w:r>
        <w:rPr>
          <w:color w:val="C8D4DE"/>
          <w:sz w:val="12"/>
        </w:rPr>
        <w:t>──────────────────────────────────────────────────────────</w:t>
      </w:r>
    </w:p>
    <w:p>
      <w:pPr>
        <w:keepNext/>
        <w:spacing w:before="240" w:after="60"/>
        <w:outlineLvl w:val="1"/>
      </w:pPr>
      <w:r>
        <w:rPr>
          <w:b/>
          <w:color w:val="1B3A57"/>
          <w:sz w:val="23"/>
        </w:rPr>
        <w:t>The Cortex Analyst model has zero verified queries</w:t>
      </w:r>
    </w:p>
    <w:p>
      <w:pPr>
        <w:spacing w:after="120"/>
      </w:pPr>
      <w:r>
        <w:rPr>
          <w:b w:val="0"/>
          <w:i w:val="0"/>
          <w:sz w:val="20"/>
        </w:rPr>
        <w:t xml:space="preserve">The app's </w:t>
      </w:r>
      <w:r>
        <w:rPr>
          <w:rFonts w:ascii="Consolas" w:hAnsi="Consolas"/>
          <w:b w:val="0"/>
          <w:i w:val="0"/>
          <w:color w:val="1B5E8C"/>
          <w:sz w:val="19"/>
        </w:rPr>
        <w:t>/api/analyst</w:t>
      </w:r>
      <w:r>
        <w:rPr>
          <w:b w:val="0"/>
          <w:i w:val="0"/>
          <w:sz w:val="20"/>
        </w:rPr>
        <w:t xml:space="preserve"> route reads </w:t>
      </w:r>
      <w:r>
        <w:rPr>
          <w:rFonts w:ascii="Consolas" w:hAnsi="Consolas"/>
          <w:b w:val="0"/>
          <w:i w:val="0"/>
          <w:color w:val="1B5E8C"/>
          <w:sz w:val="19"/>
        </w:rPr>
        <w:t>@SAP_FINANCE_360.SEMANTIC.SEMANTIC_MODELS/finance_360.semantic.yaml</w:t>
      </w:r>
      <w:r>
        <w:rPr>
          <w:b w:val="0"/>
          <w:i w:val="0"/>
          <w:sz w:val="20"/>
        </w:rPr>
        <w:t>:</w:t>
      </w:r>
    </w:p>
    <w:tbl>
      <w:tblPr>
        <w:tblStyle w:val="TableGrid"/>
        <w:tblW w:type="auto" w:w="0"/>
        <w:jc w:val="left"/>
        <w:tblLayout w:type="fixed"/>
        <w:tblLook w:firstColumn="1" w:firstRow="1" w:lastColumn="0" w:lastRow="0" w:noHBand="0" w:noVBand="1" w:val="04A0"/>
        <w:tblLayout w:type="fixed"/>
      </w:tblPr>
      <w:tblGrid>
        <w:gridCol w:w="2880"/>
        <w:gridCol w:w="7056"/>
      </w:tblGrid>
      <w:tr>
        <w:trPr>
          <w:cantSplit/>
          <w:tblHeader/>
        </w:trPr>
        <w:tc>
          <w:tcPr>
            <w:tcW w:type="dxa" w:w="2880"/>
            <w:shd w:val="clear" w:fill="1B3A57"/>
          </w:tcPr>
          <w:p>
            <w:pPr>
              <w:spacing w:after="20"/>
            </w:pPr>
            <w:r/>
            <w:r>
              <w:rPr>
                <w:b/>
                <w:color w:val="FFFFFF"/>
                <w:sz w:val="17"/>
              </w:rPr>
              <w:t>Property</w:t>
            </w:r>
          </w:p>
        </w:tc>
        <w:tc>
          <w:tcPr>
            <w:tcW w:type="dxa" w:w="7056"/>
            <w:shd w:val="clear" w:fill="1B3A57"/>
          </w:tcPr>
          <w:p>
            <w:pPr>
              <w:spacing w:after="20"/>
            </w:pPr>
            <w:r/>
            <w:r>
              <w:rPr>
                <w:b/>
                <w:color w:val="FFFFFF"/>
                <w:sz w:val="17"/>
              </w:rPr>
              <w:t>Value</w:t>
            </w:r>
          </w:p>
        </w:tc>
      </w:tr>
      <w:tr>
        <w:trPr>
          <w:cantSplit/>
        </w:trPr>
        <w:tc>
          <w:tcPr>
            <w:tcW w:type="dxa" w:w="2880"/>
          </w:tcPr>
          <w:p>
            <w:pPr>
              <w:spacing w:after="20"/>
            </w:pPr>
            <w:r/>
            <w:r>
              <w:rPr>
                <w:b w:val="0"/>
                <w:sz w:val="17"/>
              </w:rPr>
              <w:t>Model name</w:t>
            </w:r>
          </w:p>
        </w:tc>
        <w:tc>
          <w:tcPr>
            <w:tcW w:type="dxa" w:w="7056"/>
          </w:tcPr>
          <w:p>
            <w:pPr>
              <w:spacing w:after="20"/>
            </w:pPr>
            <w:r/>
            <w:r>
              <w:rPr>
                <w:rFonts w:ascii="Consolas" w:hAnsi="Consolas"/>
                <w:b w:val="0"/>
                <w:color w:val="1B5E8C"/>
                <w:sz w:val="16"/>
              </w:rPr>
              <w:t>sap_finance_360</w:t>
            </w:r>
          </w:p>
        </w:tc>
      </w:tr>
      <w:tr>
        <w:trPr>
          <w:cantSplit/>
        </w:trPr>
        <w:tc>
          <w:tcPr>
            <w:tcW w:type="dxa" w:w="2880"/>
            <w:shd w:val="clear" w:fill="EEF4F8"/>
          </w:tcPr>
          <w:p>
            <w:pPr>
              <w:spacing w:after="20"/>
            </w:pPr>
            <w:r/>
            <w:r>
              <w:rPr>
                <w:b w:val="0"/>
                <w:sz w:val="17"/>
              </w:rPr>
              <w:t>Base tables</w:t>
            </w:r>
          </w:p>
        </w:tc>
        <w:tc>
          <w:tcPr>
            <w:tcW w:type="dxa" w:w="7056"/>
            <w:shd w:val="clear" w:fill="EEF4F8"/>
          </w:tcPr>
          <w:p>
            <w:pPr>
              <w:spacing w:after="20"/>
            </w:pPr>
            <w:r/>
            <w:r>
              <w:rPr>
                <w:b w:val="0"/>
                <w:sz w:val="17"/>
              </w:rPr>
              <w:t>4</w:t>
            </w:r>
          </w:p>
        </w:tc>
      </w:tr>
      <w:tr>
        <w:trPr>
          <w:cantSplit/>
        </w:trPr>
        <w:tc>
          <w:tcPr>
            <w:tcW w:type="dxa" w:w="2880"/>
          </w:tcPr>
          <w:p>
            <w:pPr>
              <w:spacing w:after="20"/>
            </w:pPr>
            <w:r/>
            <w:r>
              <w:rPr>
                <w:b w:val="0"/>
                <w:sz w:val="17"/>
              </w:rPr>
              <w:t>Dimensions</w:t>
            </w:r>
          </w:p>
        </w:tc>
        <w:tc>
          <w:tcPr>
            <w:tcW w:type="dxa" w:w="7056"/>
          </w:tcPr>
          <w:p>
            <w:pPr>
              <w:spacing w:after="20"/>
            </w:pPr>
            <w:r/>
            <w:r>
              <w:rPr>
                <w:b w:val="0"/>
                <w:sz w:val="17"/>
              </w:rPr>
              <w:t>24</w:t>
            </w:r>
          </w:p>
        </w:tc>
      </w:tr>
      <w:tr>
        <w:trPr>
          <w:cantSplit/>
        </w:trPr>
        <w:tc>
          <w:tcPr>
            <w:tcW w:type="dxa" w:w="2880"/>
            <w:shd w:val="clear" w:fill="EEF4F8"/>
          </w:tcPr>
          <w:p>
            <w:pPr>
              <w:spacing w:after="20"/>
            </w:pPr>
            <w:r/>
            <w:r>
              <w:rPr>
                <w:b w:val="0"/>
                <w:sz w:val="17"/>
              </w:rPr>
              <w:t>Measures</w:t>
            </w:r>
          </w:p>
        </w:tc>
        <w:tc>
          <w:tcPr>
            <w:tcW w:type="dxa" w:w="7056"/>
            <w:shd w:val="clear" w:fill="EEF4F8"/>
          </w:tcPr>
          <w:p>
            <w:pPr>
              <w:spacing w:after="20"/>
            </w:pPr>
            <w:r/>
            <w:r>
              <w:rPr>
                <w:b w:val="0"/>
                <w:sz w:val="17"/>
              </w:rPr>
              <w:t>9</w:t>
            </w:r>
          </w:p>
        </w:tc>
      </w:tr>
      <w:tr>
        <w:trPr>
          <w:cantSplit/>
        </w:trPr>
        <w:tc>
          <w:tcPr>
            <w:tcW w:type="dxa" w:w="2880"/>
          </w:tcPr>
          <w:p>
            <w:pPr>
              <w:spacing w:after="20"/>
            </w:pPr>
            <w:r/>
            <w:r>
              <w:rPr>
                <w:b w:val="0"/>
                <w:sz w:val="17"/>
              </w:rPr>
              <w:t>Facts</w:t>
            </w:r>
          </w:p>
        </w:tc>
        <w:tc>
          <w:tcPr>
            <w:tcW w:type="dxa" w:w="7056"/>
          </w:tcPr>
          <w:p>
            <w:pPr>
              <w:spacing w:after="20"/>
            </w:pPr>
            <w:r/>
            <w:r>
              <w:rPr>
                <w:b w:val="0"/>
                <w:sz w:val="17"/>
              </w:rPr>
              <w:t>0</w:t>
            </w:r>
          </w:p>
        </w:tc>
      </w:tr>
      <w:tr>
        <w:trPr>
          <w:cantSplit/>
        </w:trPr>
        <w:tc>
          <w:tcPr>
            <w:tcW w:type="dxa" w:w="2880"/>
            <w:shd w:val="clear" w:fill="EEF4F8"/>
          </w:tcPr>
          <w:p>
            <w:pPr>
              <w:spacing w:after="20"/>
            </w:pPr>
            <w:r/>
            <w:r>
              <w:rPr>
                <w:b/>
                <w:sz w:val="17"/>
              </w:rPr>
              <w:t>Verified queries</w:t>
            </w:r>
          </w:p>
        </w:tc>
        <w:tc>
          <w:tcPr>
            <w:tcW w:type="dxa" w:w="7056"/>
            <w:shd w:val="clear" w:fill="EEF4F8"/>
          </w:tcPr>
          <w:p>
            <w:pPr>
              <w:spacing w:after="20"/>
            </w:pPr>
            <w:r/>
            <w:r>
              <w:rPr>
                <w:b/>
                <w:sz w:val="17"/>
              </w:rPr>
              <w:t>0</w:t>
            </w:r>
          </w:p>
        </w:tc>
      </w:tr>
    </w:tbl>
    <w:p>
      <w:pPr>
        <w:spacing w:after="80"/>
      </w:pPr>
    </w:p>
    <w:p>
      <w:pPr>
        <w:spacing w:after="120"/>
      </w:pPr>
      <w:r>
        <w:rPr>
          <w:b w:val="0"/>
          <w:i w:val="0"/>
          <w:sz w:val="20"/>
        </w:rPr>
        <w:t xml:space="preserve">Zero verified queries is a real gap, and it should be stated rather than glossed. Verified queries are how a Cortex Analyst model is told what question shapes it exists to serve. With none, every question is answered from column names and descriptions alone, and the model has no worked example of the very thing that is hardest about this data — the </w:t>
      </w:r>
      <w:r>
        <w:rPr>
          <w:rFonts w:ascii="Consolas" w:hAnsi="Consolas"/>
          <w:b w:val="0"/>
          <w:i w:val="0"/>
          <w:color w:val="1B5E8C"/>
          <w:sz w:val="19"/>
        </w:rPr>
        <w:t>ABS</w:t>
      </w:r>
      <w:r>
        <w:rPr>
          <w:b w:val="0"/>
          <w:i w:val="0"/>
          <w:sz w:val="20"/>
        </w:rPr>
        <w:t xml:space="preserve"> plus </w:t>
      </w:r>
      <w:r>
        <w:rPr>
          <w:rFonts w:ascii="Consolas" w:hAnsi="Consolas"/>
          <w:b w:val="0"/>
          <w:i w:val="0"/>
          <w:color w:val="1B5E8C"/>
          <w:sz w:val="19"/>
        </w:rPr>
        <w:t>DEBITCREDITCODE</w:t>
      </w:r>
      <w:r>
        <w:rPr>
          <w:b w:val="0"/>
          <w:i w:val="0"/>
          <w:sz w:val="20"/>
        </w:rPr>
        <w:t xml:space="preserve"> pattern.</w:t>
      </w:r>
    </w:p>
    <w:p>
      <w:pPr>
        <w:spacing w:after="120"/>
      </w:pPr>
      <w:r>
        <w:rPr>
          <w:b w:val="0"/>
          <w:i w:val="0"/>
          <w:sz w:val="20"/>
        </w:rPr>
        <w:t>The likely failure mode is therefore not a refusal but a confidently wrong aggregate, which is the worst available outcome for a finance demo in front of an architect.</w:t>
      </w:r>
    </w:p>
    <w:p>
      <w:pPr>
        <w:spacing w:after="120"/>
      </w:pPr>
      <w:r>
        <w:rPr>
          <w:b w:val="0"/>
          <w:i w:val="0"/>
          <w:sz w:val="20"/>
        </w:rPr>
        <w:t>Three of the seven L2 objects are outside the model entirely:</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Excluded</w:t>
            </w:r>
          </w:p>
        </w:tc>
        <w:tc>
          <w:tcPr>
            <w:tcW w:type="dxa" w:w="3528"/>
            <w:shd w:val="clear" w:fill="1B3A57"/>
          </w:tcPr>
          <w:p>
            <w:pPr>
              <w:spacing w:after="20"/>
            </w:pPr>
            <w:r/>
            <w:r>
              <w:rPr>
                <w:b/>
                <w:color w:val="FFFFFF"/>
                <w:sz w:val="17"/>
              </w:rPr>
              <w:t>Rows</w:t>
            </w:r>
          </w:p>
        </w:tc>
        <w:tc>
          <w:tcPr>
            <w:tcW w:type="dxa" w:w="3528"/>
            <w:shd w:val="clear" w:fill="1B3A57"/>
          </w:tcPr>
          <w:p>
            <w:pPr>
              <w:spacing w:after="20"/>
            </w:pPr>
            <w:r/>
            <w:r>
              <w:rPr>
                <w:b/>
                <w:color w:val="FFFFFF"/>
                <w:sz w:val="17"/>
              </w:rPr>
              <w:t>Consequence</w:t>
            </w:r>
          </w:p>
        </w:tc>
      </w:tr>
      <w:tr>
        <w:trPr>
          <w:cantSplit/>
        </w:trPr>
        <w:tc>
          <w:tcPr>
            <w:tcW w:type="dxa" w:w="2880"/>
          </w:tcPr>
          <w:p>
            <w:pPr>
              <w:spacing w:after="20"/>
            </w:pPr>
            <w:r/>
            <w:r>
              <w:rPr>
                <w:rFonts w:ascii="Consolas" w:hAnsi="Consolas"/>
                <w:b w:val="0"/>
                <w:color w:val="1B5E8C"/>
                <w:sz w:val="16"/>
              </w:rPr>
              <w:t>DT_AP_AGING</w:t>
            </w:r>
          </w:p>
        </w:tc>
        <w:tc>
          <w:tcPr>
            <w:tcW w:type="dxa" w:w="3528"/>
          </w:tcPr>
          <w:p>
            <w:pPr>
              <w:spacing w:after="20"/>
            </w:pPr>
            <w:r/>
            <w:r>
              <w:rPr>
                <w:b w:val="0"/>
                <w:sz w:val="17"/>
              </w:rPr>
              <w:t>419</w:t>
            </w:r>
          </w:p>
        </w:tc>
        <w:tc>
          <w:tcPr>
            <w:tcW w:type="dxa" w:w="3528"/>
          </w:tcPr>
          <w:p>
            <w:pPr>
              <w:spacing w:after="20"/>
            </w:pPr>
            <w:r/>
            <w:r>
              <w:rPr>
                <w:b w:val="0"/>
                <w:sz w:val="17"/>
              </w:rPr>
              <w:t>no accounts-payable question can be answered</w:t>
            </w:r>
          </w:p>
        </w:tc>
      </w:tr>
      <w:tr>
        <w:trPr>
          <w:cantSplit/>
        </w:trPr>
        <w:tc>
          <w:tcPr>
            <w:tcW w:type="dxa" w:w="2880"/>
            <w:shd w:val="clear" w:fill="EEF4F8"/>
          </w:tcPr>
          <w:p>
            <w:pPr>
              <w:spacing w:after="20"/>
            </w:pPr>
            <w:r/>
            <w:r>
              <w:rPr>
                <w:rFonts w:ascii="Consolas" w:hAnsi="Consolas"/>
                <w:b w:val="0"/>
                <w:color w:val="1B5E8C"/>
                <w:sz w:val="16"/>
              </w:rPr>
              <w:t>DT_GL_BALANCE</w:t>
            </w:r>
          </w:p>
        </w:tc>
        <w:tc>
          <w:tcPr>
            <w:tcW w:type="dxa" w:w="3528"/>
            <w:shd w:val="clear" w:fill="EEF4F8"/>
          </w:tcPr>
          <w:p>
            <w:pPr>
              <w:spacing w:after="20"/>
            </w:pPr>
            <w:r/>
            <w:r>
              <w:rPr>
                <w:b w:val="0"/>
                <w:sz w:val="17"/>
              </w:rPr>
              <w:t>1,793</w:t>
            </w:r>
          </w:p>
        </w:tc>
        <w:tc>
          <w:tcPr>
            <w:tcW w:type="dxa" w:w="3528"/>
            <w:shd w:val="clear" w:fill="EEF4F8"/>
          </w:tcPr>
          <w:p>
            <w:pPr>
              <w:spacing w:after="20"/>
            </w:pPr>
            <w:r/>
            <w:r>
              <w:rPr>
                <w:b w:val="0"/>
                <w:sz w:val="17"/>
              </w:rPr>
              <w:t>no GL-balance question can be answered</w:t>
            </w:r>
          </w:p>
        </w:tc>
      </w:tr>
      <w:tr>
        <w:trPr>
          <w:cantSplit/>
        </w:trPr>
        <w:tc>
          <w:tcPr>
            <w:tcW w:type="dxa" w:w="2880"/>
          </w:tcPr>
          <w:p>
            <w:pPr>
              <w:spacing w:after="20"/>
            </w:pPr>
            <w:r/>
            <w:r>
              <w:rPr>
                <w:rFonts w:ascii="Consolas" w:hAnsi="Consolas"/>
                <w:b w:val="0"/>
                <w:color w:val="1B5E8C"/>
                <w:sz w:val="16"/>
              </w:rPr>
              <w:t>DT_PNL_SUMMARY</w:t>
            </w:r>
          </w:p>
        </w:tc>
        <w:tc>
          <w:tcPr>
            <w:tcW w:type="dxa" w:w="3528"/>
          </w:tcPr>
          <w:p>
            <w:pPr>
              <w:spacing w:after="20"/>
            </w:pPr>
            <w:r/>
            <w:r>
              <w:rPr>
                <w:b w:val="0"/>
                <w:sz w:val="17"/>
              </w:rPr>
              <w:t>81</w:t>
            </w:r>
          </w:p>
        </w:tc>
        <w:tc>
          <w:tcPr>
            <w:tcW w:type="dxa" w:w="3528"/>
          </w:tcPr>
          <w:p>
            <w:pPr>
              <w:spacing w:after="20"/>
            </w:pPr>
            <w:r/>
            <w:r>
              <w:rPr>
                <w:b w:val="0"/>
                <w:sz w:val="17"/>
              </w:rPr>
              <w:t>no P&amp;L-summary question can be answered</w:t>
            </w:r>
          </w:p>
        </w:tc>
      </w:tr>
    </w:tbl>
    <w:p>
      <w:pPr>
        <w:spacing w:after="80"/>
      </w:pPr>
    </w:p>
    <w:p>
      <w:pPr>
        <w:spacing w:after="120"/>
      </w:pPr>
      <w:r>
        <w:rPr>
          <w:b w:val="0"/>
          <w:i w:val="0"/>
          <w:sz w:val="20"/>
        </w:rPr>
        <w:t>The app has dedicated pages for Accounts Payable, General Ledger and Period Analysis. A user who sees those pages and then asks Cortex Analyst a question about them gets nothing useful, and the interface gives no indication why.</w:t>
      </w:r>
    </w:p>
    <w:p>
      <w:pPr>
        <w:spacing w:after="120"/>
      </w:pPr>
      <w:r>
        <w:rPr>
          <w:b w:val="0"/>
          <w:i w:val="0"/>
          <w:sz w:val="20"/>
        </w:rPr>
        <w:t>Closing this is the highest-value remaining work on the stack. Detail in the analyst and agent layer (07-analyst-and-agent.md).</w:t>
      </w:r>
    </w:p>
    <w:p>
      <w:pPr>
        <w:spacing w:before="80" w:after="160"/>
        <w:jc w:val="center"/>
      </w:pPr>
      <w:r>
        <w:rPr>
          <w:color w:val="C8D4DE"/>
          <w:sz w:val="12"/>
        </w:rPr>
        <w:t>──────────────────────────────────────────────────────────</w:t>
      </w:r>
    </w:p>
    <w:p>
      <w:pPr>
        <w:keepNext/>
        <w:spacing w:before="240" w:after="60"/>
        <w:outlineLvl w:val="1"/>
      </w:pPr>
      <w:r>
        <w:rPr>
          <w:b/>
          <w:color w:val="1B3A57"/>
          <w:sz w:val="23"/>
        </w:rPr>
        <w:t>Summary of open gaps</w:t>
      </w:r>
    </w:p>
    <w:tbl>
      <w:tblPr>
        <w:tblStyle w:val="TableGrid"/>
        <w:tblW w:type="auto" w:w="0"/>
        <w:jc w:val="left"/>
        <w:tblLayout w:type="fixed"/>
        <w:tblLook w:firstColumn="1" w:firstRow="1" w:lastColumn="0" w:lastRow="0" w:noHBand="0" w:noVBand="1" w:val="04A0"/>
        <w:tblLayout w:type="fixed"/>
      </w:tblPr>
      <w:tblGrid>
        <w:gridCol w:w="2880"/>
        <w:gridCol w:w="3528"/>
        <w:gridCol w:w="3528"/>
      </w:tblGrid>
      <w:tr>
        <w:trPr>
          <w:cantSplit/>
          <w:tblHeader/>
        </w:trPr>
        <w:tc>
          <w:tcPr>
            <w:tcW w:type="dxa" w:w="2880"/>
            <w:shd w:val="clear" w:fill="1B3A57"/>
          </w:tcPr>
          <w:p>
            <w:pPr>
              <w:spacing w:after="20"/>
            </w:pPr>
            <w:r/>
            <w:r>
              <w:rPr>
                <w:b/>
                <w:color w:val="FFFFFF"/>
                <w:sz w:val="17"/>
              </w:rPr>
              <w:t>Gap</w:t>
            </w:r>
          </w:p>
        </w:tc>
        <w:tc>
          <w:tcPr>
            <w:tcW w:type="dxa" w:w="3528"/>
            <w:shd w:val="clear" w:fill="1B3A57"/>
          </w:tcPr>
          <w:p>
            <w:pPr>
              <w:spacing w:after="20"/>
            </w:pPr>
            <w:r/>
            <w:r>
              <w:rPr>
                <w:b/>
                <w:color w:val="FFFFFF"/>
                <w:sz w:val="17"/>
              </w:rPr>
              <w:t>Severity</w:t>
            </w:r>
          </w:p>
        </w:tc>
        <w:tc>
          <w:tcPr>
            <w:tcW w:type="dxa" w:w="3528"/>
            <w:shd w:val="clear" w:fill="1B3A57"/>
          </w:tcPr>
          <w:p>
            <w:pPr>
              <w:spacing w:after="20"/>
            </w:pPr>
            <w:r/>
            <w:r>
              <w:rPr>
                <w:b/>
                <w:color w:val="FFFFFF"/>
                <w:sz w:val="17"/>
              </w:rPr>
              <w:t>Fix</w:t>
            </w:r>
          </w:p>
        </w:tc>
      </w:tr>
      <w:tr>
        <w:trPr>
          <w:cantSplit/>
        </w:trPr>
        <w:tc>
          <w:tcPr>
            <w:tcW w:type="dxa" w:w="2880"/>
          </w:tcPr>
          <w:p>
            <w:pPr>
              <w:spacing w:after="20"/>
            </w:pPr>
            <w:r/>
            <w:r>
              <w:rPr>
                <w:b w:val="0"/>
                <w:sz w:val="17"/>
              </w:rPr>
              <w:t>0 verified queries in the Analyst model</w:t>
            </w:r>
          </w:p>
        </w:tc>
        <w:tc>
          <w:tcPr>
            <w:tcW w:type="dxa" w:w="3528"/>
          </w:tcPr>
          <w:p>
            <w:pPr>
              <w:spacing w:after="20"/>
            </w:pPr>
            <w:r/>
            <w:r>
              <w:rPr>
                <w:b w:val="0"/>
                <w:sz w:val="17"/>
              </w:rPr>
              <w:t>high</w:t>
            </w:r>
          </w:p>
        </w:tc>
        <w:tc>
          <w:tcPr>
            <w:tcW w:type="dxa" w:w="3528"/>
          </w:tcPr>
          <w:p>
            <w:pPr>
              <w:spacing w:after="20"/>
            </w:pPr>
            <w:r/>
            <w:r>
              <w:rPr>
                <w:b w:val="0"/>
                <w:sz w:val="17"/>
              </w:rPr>
              <w:t>add queries, starting with signed-amount aggregation</w:t>
            </w:r>
          </w:p>
        </w:tc>
      </w:tr>
      <w:tr>
        <w:trPr>
          <w:cantSplit/>
        </w:trPr>
        <w:tc>
          <w:tcPr>
            <w:tcW w:type="dxa" w:w="2880"/>
            <w:shd w:val="clear" w:fill="EEF4F8"/>
          </w:tcPr>
          <w:p>
            <w:pPr>
              <w:spacing w:after="20"/>
            </w:pPr>
            <w:r/>
            <w:r>
              <w:rPr>
                <w:b w:val="0"/>
                <w:sz w:val="17"/>
              </w:rPr>
              <w:t>3 of 7 L2 tables outside the Analyst model</w:t>
            </w:r>
          </w:p>
        </w:tc>
        <w:tc>
          <w:tcPr>
            <w:tcW w:type="dxa" w:w="3528"/>
            <w:shd w:val="clear" w:fill="EEF4F8"/>
          </w:tcPr>
          <w:p>
            <w:pPr>
              <w:spacing w:after="20"/>
            </w:pPr>
            <w:r/>
            <w:r>
              <w:rPr>
                <w:b w:val="0"/>
                <w:sz w:val="17"/>
              </w:rPr>
              <w:t>high</w:t>
            </w:r>
          </w:p>
        </w:tc>
        <w:tc>
          <w:tcPr>
            <w:tcW w:type="dxa" w:w="3528"/>
            <w:shd w:val="clear" w:fill="EEF4F8"/>
          </w:tcPr>
          <w:p>
            <w:pPr>
              <w:spacing w:after="20"/>
            </w:pPr>
            <w:r/>
            <w:r>
              <w:rPr>
                <w:b w:val="0"/>
                <w:sz w:val="17"/>
              </w:rPr>
              <w:t>extend the model, or disclose the boundary in the UI</w:t>
            </w:r>
          </w:p>
        </w:tc>
      </w:tr>
      <w:tr>
        <w:trPr>
          <w:cantSplit/>
        </w:trPr>
        <w:tc>
          <w:tcPr>
            <w:tcW w:type="dxa" w:w="2880"/>
          </w:tcPr>
          <w:p>
            <w:pPr>
              <w:spacing w:after="20"/>
            </w:pPr>
            <w:r/>
            <w:r>
              <w:rPr>
                <w:b w:val="0"/>
                <w:sz w:val="17"/>
              </w:rPr>
              <w:t>Two incomplete semantic views</w:t>
            </w:r>
          </w:p>
        </w:tc>
        <w:tc>
          <w:tcPr>
            <w:tcW w:type="dxa" w:w="3528"/>
          </w:tcPr>
          <w:p>
            <w:pPr>
              <w:spacing w:after="20"/>
            </w:pPr>
            <w:r/>
            <w:r>
              <w:rPr>
                <w:b w:val="0"/>
                <w:sz w:val="17"/>
              </w:rPr>
              <w:t>medium</w:t>
            </w:r>
          </w:p>
        </w:tc>
        <w:tc>
          <w:tcPr>
            <w:tcW w:type="dxa" w:w="3528"/>
          </w:tcPr>
          <w:p>
            <w:pPr>
              <w:spacing w:after="20"/>
            </w:pPr>
            <w:r/>
            <w:r>
              <w:rPr>
                <w:b w:val="0"/>
                <w:sz w:val="17"/>
              </w:rPr>
              <w:t>consolidate into one with metrics and relationships</w:t>
            </w:r>
          </w:p>
        </w:tc>
      </w:tr>
      <w:tr>
        <w:trPr>
          <w:cantSplit/>
        </w:trPr>
        <w:tc>
          <w:tcPr>
            <w:tcW w:type="dxa" w:w="2880"/>
            <w:shd w:val="clear" w:fill="EEF4F8"/>
          </w:tcPr>
          <w:p>
            <w:pPr>
              <w:spacing w:after="20"/>
            </w:pPr>
            <w:r/>
            <w:r>
              <w:rPr>
                <w:rFonts w:ascii="Consolas" w:hAnsi="Consolas"/>
                <w:b w:val="0"/>
                <w:color w:val="1B5E8C"/>
                <w:sz w:val="16"/>
              </w:rPr>
              <w:t>DT_AR_AGING</w:t>
            </w:r>
            <w:r>
              <w:rPr>
                <w:b w:val="0"/>
                <w:sz w:val="17"/>
              </w:rPr>
              <w:t xml:space="preserve"> misnamed as dynamic</w:t>
            </w:r>
          </w:p>
        </w:tc>
        <w:tc>
          <w:tcPr>
            <w:tcW w:type="dxa" w:w="3528"/>
            <w:shd w:val="clear" w:fill="EEF4F8"/>
          </w:tcPr>
          <w:p>
            <w:pPr>
              <w:spacing w:after="20"/>
            </w:pPr>
            <w:r/>
            <w:r>
              <w:rPr>
                <w:b w:val="0"/>
                <w:sz w:val="17"/>
              </w:rPr>
              <w:t>medium</w:t>
            </w:r>
          </w:p>
        </w:tc>
        <w:tc>
          <w:tcPr>
            <w:tcW w:type="dxa" w:w="3528"/>
            <w:shd w:val="clear" w:fill="EEF4F8"/>
          </w:tcPr>
          <w:p>
            <w:pPr>
              <w:spacing w:after="20"/>
            </w:pPr>
            <w:r/>
            <w:r>
              <w:rPr>
                <w:b w:val="0"/>
                <w:sz w:val="17"/>
              </w:rPr>
              <w:t>rename, or document at every handover</w:t>
            </w:r>
          </w:p>
        </w:tc>
      </w:tr>
      <w:tr>
        <w:trPr>
          <w:cantSplit/>
        </w:trPr>
        <w:tc>
          <w:tcPr>
            <w:tcW w:type="dxa" w:w="2880"/>
          </w:tcPr>
          <w:p>
            <w:pPr>
              <w:spacing w:after="20"/>
            </w:pPr>
            <w:r/>
            <w:r>
              <w:rPr>
                <w:b w:val="0"/>
                <w:sz w:val="17"/>
              </w:rPr>
              <w:t>AP gross not comparable to P&amp;L revenue</w:t>
            </w:r>
          </w:p>
        </w:tc>
        <w:tc>
          <w:tcPr>
            <w:tcW w:type="dxa" w:w="3528"/>
          </w:tcPr>
          <w:p>
            <w:pPr>
              <w:spacing w:after="20"/>
            </w:pPr>
            <w:r/>
            <w:r>
              <w:rPr>
                <w:b w:val="0"/>
                <w:sz w:val="17"/>
              </w:rPr>
              <w:t>medium</w:t>
            </w:r>
          </w:p>
        </w:tc>
        <w:tc>
          <w:tcPr>
            <w:tcW w:type="dxa" w:w="3528"/>
          </w:tcPr>
          <w:p>
            <w:pPr>
              <w:spacing w:after="20"/>
            </w:pPr>
            <w:r/>
            <w:r>
              <w:rPr>
                <w:b w:val="0"/>
                <w:sz w:val="17"/>
              </w:rPr>
              <w:t>never chart together; note the differing grain</w:t>
            </w:r>
          </w:p>
        </w:tc>
      </w:tr>
      <w:tr>
        <w:trPr>
          <w:cantSplit/>
        </w:trPr>
        <w:tc>
          <w:tcPr>
            <w:tcW w:type="dxa" w:w="2880"/>
            <w:shd w:val="clear" w:fill="EEF4F8"/>
          </w:tcPr>
          <w:p>
            <w:pPr>
              <w:spacing w:after="20"/>
            </w:pPr>
            <w:r/>
            <w:r>
              <w:rPr>
                <w:b w:val="0"/>
                <w:sz w:val="17"/>
              </w:rPr>
              <w:t>Signed-amount handling duplicated in 21 app clauses</w:t>
            </w:r>
          </w:p>
        </w:tc>
        <w:tc>
          <w:tcPr>
            <w:tcW w:type="dxa" w:w="3528"/>
            <w:shd w:val="clear" w:fill="EEF4F8"/>
          </w:tcPr>
          <w:p>
            <w:pPr>
              <w:spacing w:after="20"/>
            </w:pPr>
            <w:r/>
            <w:r>
              <w:rPr>
                <w:b w:val="0"/>
                <w:sz w:val="17"/>
              </w:rPr>
              <w:t>medium</w:t>
            </w:r>
          </w:p>
        </w:tc>
        <w:tc>
          <w:tcPr>
            <w:tcW w:type="dxa" w:w="3528"/>
            <w:shd w:val="clear" w:fill="EEF4F8"/>
          </w:tcPr>
          <w:p>
            <w:pPr>
              <w:spacing w:after="20"/>
            </w:pPr>
            <w:r/>
            <w:r>
              <w:rPr>
                <w:b w:val="0"/>
                <w:sz w:val="17"/>
              </w:rPr>
              <w:t>route app reads through L2, or centralise a helper</w:t>
            </w:r>
          </w:p>
        </w:tc>
      </w:tr>
      <w:tr>
        <w:trPr>
          <w:cantSplit/>
        </w:trPr>
        <w:tc>
          <w:tcPr>
            <w:tcW w:type="dxa" w:w="2880"/>
          </w:tcPr>
          <w:p>
            <w:pPr>
              <w:spacing w:after="20"/>
            </w:pPr>
            <w:r/>
            <w:r>
              <w:rPr>
                <w:rFonts w:ascii="Consolas" w:hAnsi="Consolas"/>
                <w:b w:val="0"/>
                <w:color w:val="1B5E8C"/>
                <w:sz w:val="16"/>
              </w:rPr>
              <w:t>DT_GL_BALANCE</w:t>
            </w:r>
            <w:r>
              <w:rPr>
                <w:b w:val="0"/>
                <w:sz w:val="17"/>
              </w:rPr>
              <w:t xml:space="preserve">, </w:t>
            </w:r>
            <w:r>
              <w:rPr>
                <w:rFonts w:ascii="Consolas" w:hAnsi="Consolas"/>
                <w:b w:val="0"/>
                <w:color w:val="1B5E8C"/>
                <w:sz w:val="16"/>
              </w:rPr>
              <w:t>DT_PNL_SUMMARY</w:t>
            </w:r>
            <w:r>
              <w:rPr>
                <w:b w:val="0"/>
                <w:sz w:val="17"/>
              </w:rPr>
              <w:t xml:space="preserve"> read by no page</w:t>
            </w:r>
          </w:p>
        </w:tc>
        <w:tc>
          <w:tcPr>
            <w:tcW w:type="dxa" w:w="3528"/>
          </w:tcPr>
          <w:p>
            <w:pPr>
              <w:spacing w:after="20"/>
            </w:pPr>
            <w:r/>
            <w:r>
              <w:rPr>
                <w:b w:val="0"/>
                <w:sz w:val="17"/>
              </w:rPr>
              <w:t>low</w:t>
            </w:r>
          </w:p>
        </w:tc>
        <w:tc>
          <w:tcPr>
            <w:tcW w:type="dxa" w:w="3528"/>
          </w:tcPr>
          <w:p>
            <w:pPr>
              <w:spacing w:after="20"/>
            </w:pPr>
            <w:r/>
            <w:r>
              <w:rPr>
                <w:b w:val="0"/>
                <w:sz w:val="17"/>
              </w:rPr>
              <w:t>point the pages at them, or drop them</w:t>
            </w:r>
          </w:p>
        </w:tc>
      </w:tr>
      <w:tr>
        <w:trPr>
          <w:cantSplit/>
        </w:trPr>
        <w:tc>
          <w:tcPr>
            <w:tcW w:type="dxa" w:w="2880"/>
            <w:shd w:val="clear" w:fill="EEF4F8"/>
          </w:tcPr>
          <w:p>
            <w:pPr>
              <w:spacing w:after="20"/>
            </w:pPr>
            <w:r/>
            <w:r>
              <w:rPr>
                <w:b w:val="0"/>
                <w:sz w:val="17"/>
              </w:rPr>
              <w:t>AR window does not overlap the ledger</w:t>
            </w:r>
          </w:p>
        </w:tc>
        <w:tc>
          <w:tcPr>
            <w:tcW w:type="dxa" w:w="3528"/>
            <w:shd w:val="clear" w:fill="EEF4F8"/>
          </w:tcPr>
          <w:p>
            <w:pPr>
              <w:spacing w:after="20"/>
            </w:pPr>
            <w:r/>
            <w:r>
              <w:rPr>
                <w:b w:val="0"/>
                <w:sz w:val="17"/>
              </w:rPr>
              <w:t>low</w:t>
            </w:r>
          </w:p>
        </w:tc>
        <w:tc>
          <w:tcPr>
            <w:tcW w:type="dxa" w:w="3528"/>
            <w:shd w:val="clear" w:fill="EEF4F8"/>
          </w:tcPr>
          <w:p>
            <w:pPr>
              <w:spacing w:after="20"/>
            </w:pPr>
            <w:r/>
            <w:r>
              <w:rPr>
                <w:b w:val="0"/>
                <w:sz w:val="17"/>
              </w:rPr>
              <w:t>state it wherever AR and revenue appear together</w:t>
            </w:r>
          </w:p>
        </w:tc>
      </w:tr>
    </w:tbl>
    <w:p>
      <w:pPr>
        <w:spacing w:after="80"/>
      </w:pP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