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color w:val="29B5E8"/>
          <w:sz w:val="26"/>
        </w:rPr>
        <w:t>SAP BDC Finance 360</w:t>
      </w:r>
    </w:p>
    <w:p>
      <w:pPr>
        <w:spacing w:after="40"/>
      </w:pPr>
      <w:r>
        <w:rPr>
          <w:b/>
          <w:color w:val="1B3A57"/>
          <w:sz w:val="44"/>
        </w:rPr>
        <w:t>References</w:t>
      </w:r>
    </w:p>
    <w:p>
      <w:pPr>
        <w:spacing w:after="280"/>
      </w:pPr>
      <w:r>
        <w:rPr>
          <w:color w:val="5A6A7A"/>
          <w:sz w:val="19"/>
        </w:rPr>
        <w:t>Generated from docs/06-references.md  ·  part 06</w:t>
      </w:r>
    </w:p>
    <w:p>
      <w:pPr>
        <w:spacing w:after="120"/>
      </w:pPr>
      <w:r>
        <w:rPr>
          <w:b w:val="0"/>
          <w:i w:val="0"/>
          <w:sz w:val="20"/>
        </w:rPr>
        <w:t>Where the pieces came from, what each contributed, and the boundary between this asset and its neighbours.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This repository</w:t>
      </w:r>
    </w:p>
    <w:p>
      <w:pPr>
        <w:keepNext/>
        <w:spacing w:before="160" w:after="40"/>
        <w:outlineLvl w:val="2"/>
      </w:pPr>
      <w:r>
        <w:rPr>
          <w:rFonts w:ascii="Consolas" w:hAnsi="Consolas"/>
          <w:b/>
          <w:color w:val="29B5E8"/>
          <w:sz w:val="19"/>
        </w:rPr>
        <w:t>sfc-gh-dfreriks/sap-bdc-finance-360</w:t>
      </w:r>
      <w:r>
        <w:rPr>
          <w:b/>
          <w:color w:val="29B5E8"/>
          <w:sz w:val="20"/>
        </w:rPr>
        <w:t xml:space="preserve"> (https://github.com/sfc-gh-dfreriks/sap-bdc-finance-360)</w:t>
      </w:r>
    </w:p>
    <w:p>
      <w:pPr>
        <w:spacing w:after="120"/>
      </w:pPr>
      <w:r>
        <w:rPr>
          <w:b w:val="0"/>
          <w:i w:val="0"/>
          <w:sz w:val="20"/>
        </w:rPr>
        <w:t>The asset this handbook documents.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Account verified against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MSB89522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PUBLIC.AWS_US_WEST_2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Deployed app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erzht4-sfsenorthamerica-dfreriks-aws1-w2.snowflakecomputing.app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Verified on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2026-09-21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Layout: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Contents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sql/01_l0_sources.md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L0 documentation — markdown, because there is nothing to create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sql/02_l1_curated_views.sql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 L1 passthrough views with column comments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sql/03_l2_analytics_dynamic_tables.sql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7 L2 objects — 6 dynamic tables plus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DT_AR_AGING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sql/04_semantic_view.sql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two semantic views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sql/05_cortex_agent.sql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SAP_FINANCE_360_AGENT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app/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Native App package —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manifest.yml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setup.sql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service_spec.yml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snowflake.yml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service/app/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React client, Express server, Dockerfile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scripts/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build_and_push.sh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migrate_data.py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deploy_native_app.py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create_org_listing.py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fact extraction, screenshot capture, Word and PowerPoint builders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docs/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this handbook, plus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ARCHITECTURE.md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INSTALL.md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DEMO_GUIDE.md</w:t>
            </w:r>
            <w:r>
              <w:rPr>
                <w:b w:val="0"/>
                <w:sz w:val="17"/>
              </w:rPr>
              <w:t xml:space="preserve"> and the demo deck</w:t>
            </w:r>
          </w:p>
        </w:tc>
      </w:tr>
    </w:tbl>
    <w:p>
      <w:pPr>
        <w:spacing w:after="80"/>
      </w:pP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Upstream data</w:t>
      </w:r>
    </w:p>
    <w:p>
      <w:pPr>
        <w:keepNext/>
        <w:spacing w:before="160" w:after="40"/>
        <w:outlineLvl w:val="2"/>
      </w:pPr>
      <w:r>
        <w:rPr>
          <w:b/>
          <w:color w:val="29B5E8"/>
          <w:sz w:val="20"/>
        </w:rPr>
        <w:t>SAP Business Data Cloud Standard Data Products</w:t>
      </w:r>
    </w:p>
    <w:p>
      <w:pPr>
        <w:spacing w:after="120"/>
      </w:pPr>
      <w:r>
        <w:rPr>
          <w:b w:val="0"/>
          <w:i w:val="0"/>
          <w:sz w:val="20"/>
        </w:rPr>
        <w:t xml:space="preserve">The L0 layer. Shared into the account as </w:t>
      </w:r>
      <w:r>
        <w:rPr>
          <w:rFonts w:ascii="Consolas" w:hAnsi="Consolas"/>
          <w:b w:val="0"/>
          <w:i w:val="0"/>
          <w:color w:val="1B5E8C"/>
          <w:sz w:val="19"/>
        </w:rPr>
        <w:t>SAP_BDC_DEMO_*</w:t>
      </w:r>
      <w:r>
        <w:rPr>
          <w:b w:val="0"/>
          <w:i w:val="0"/>
          <w:sz w:val="20"/>
        </w:rPr>
        <w:t xml:space="preserve"> databases and read in place — nothing is copied at that boundary.</w:t>
      </w:r>
    </w:p>
    <w:p>
      <w:pPr>
        <w:spacing w:after="120"/>
      </w:pPr>
      <w:r>
        <w:rPr>
          <w:b w:val="0"/>
          <w:i w:val="0"/>
          <w:sz w:val="20"/>
        </w:rPr>
        <w:t>Three shared databases are actually read: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Shared database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Object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SAP_BDC_DEMO_ENTRY_VIEW_JOURNAL_ENTRY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BDCCONNECT.OPERATIONALACCTGDOCITEM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SAP_BDC_DEMO_JOURNAL_ENTRY_HEADER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BDCCONNECT.JOURNALENTRY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SAP_BDC_DEMO_SUPPLIER_INVOICE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BDCCONNECT.SUPPLIERINVOICE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What the products give you is the SAP semantics — company code, fiscal year, cost centre, profit centre, debit/credit indicator — preserved rather than flattened into warehouse-native names.</w:t>
      </w:r>
    </w:p>
    <w:p>
      <w:pPr>
        <w:spacing w:after="120"/>
      </w:pPr>
      <w:r>
        <w:rPr>
          <w:b w:val="0"/>
          <w:i w:val="0"/>
          <w:sz w:val="20"/>
        </w:rPr>
        <w:t xml:space="preserve">What they do not give you is a receivables object. That absence is the whole reason </w:t>
      </w:r>
      <w:r>
        <w:rPr>
          <w:rFonts w:ascii="Consolas" w:hAnsi="Consolas"/>
          <w:b w:val="0"/>
          <w:i w:val="0"/>
          <w:color w:val="1B5E8C"/>
          <w:sz w:val="19"/>
        </w:rPr>
        <w:t>DT_AR_AGING</w:t>
      </w:r>
      <w:r>
        <w:rPr>
          <w:b w:val="0"/>
          <w:i w:val="0"/>
          <w:sz w:val="20"/>
        </w:rPr>
        <w:t xml:space="preserve"> is generated, and it is the one place where this asset departs from real SAP data. See findings (05-findings.md#dt_ar_aging-is-a-plain-table-wearing-a-dynamic-tables-prefix).</w:t>
      </w:r>
    </w:p>
    <w:p>
      <w:pPr>
        <w:spacing w:after="120"/>
      </w:pPr>
      <w:r>
        <w:rPr>
          <w:b w:val="0"/>
          <w:i w:val="0"/>
          <w:sz w:val="20"/>
        </w:rPr>
        <w:t>They also do not give you a customer master, a cash or bank ledger, or period-end close status, so questions requiring any of those are out of scope by construction.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Snowflake platform features used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Where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Secure data sharing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L0 → L1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zero-copy; no extract to go stale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Views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L1, 6 objects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naming and comments without storage or lag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Dynamic tables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L2, 6 objects,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TARGET_LAG = 'DOWNSTREAM'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refresh driven by consumption, not a schedule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Semantic views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 objects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governed metric and relationship definitions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Cortex Analyst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stage YAML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natural language over the L2 objects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Cortex Agent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SAP_FINANCE_360_AGENT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Snowflake Intelligence surface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Snowpark Container Services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app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React + Express served from the account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Native App framework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app/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packaged, installable, distributable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Org listings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create_org_listing.py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multi-region distribution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onsolas" w:hAnsi="Consolas"/>
          <w:b w:val="0"/>
          <w:i w:val="0"/>
          <w:color w:val="1B5E8C"/>
          <w:sz w:val="19"/>
        </w:rPr>
        <w:t>TARGET_LAG = 'DOWNSTREAM'</w:t>
      </w:r>
      <w:r>
        <w:rPr>
          <w:b w:val="0"/>
          <w:i w:val="0"/>
          <w:sz w:val="20"/>
        </w:rPr>
        <w:t xml:space="preserve"> is the choice worth calling out. It makes refresh a function of what reads the tables, which suits a demo asset that is idle between sessions — but it also means </w:t>
      </w:r>
      <w:r>
        <w:rPr>
          <w:rFonts w:ascii="Consolas" w:hAnsi="Consolas"/>
          <w:b w:val="0"/>
          <w:i w:val="0"/>
          <w:color w:val="1B5E8C"/>
          <w:sz w:val="19"/>
        </w:rPr>
        <w:t>DT_GL_BALANCE</w:t>
      </w:r>
      <w:r>
        <w:rPr>
          <w:b w:val="0"/>
          <w:i w:val="0"/>
          <w:sz w:val="20"/>
        </w:rPr>
        <w:t xml:space="preserve"> and </w:t>
      </w:r>
      <w:r>
        <w:rPr>
          <w:rFonts w:ascii="Consolas" w:hAnsi="Consolas"/>
          <w:b w:val="0"/>
          <w:i w:val="0"/>
          <w:color w:val="1B5E8C"/>
          <w:sz w:val="19"/>
        </w:rPr>
        <w:t>DT_PNL_SUMMARY</w:t>
      </w:r>
      <w:r>
        <w:rPr>
          <w:b w:val="0"/>
          <w:i w:val="0"/>
          <w:sz w:val="20"/>
        </w:rPr>
        <w:t>, which no page reads, are refreshed only by whatever queries them directly.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Companion assets</w:t>
      </w:r>
    </w:p>
    <w:p>
      <w:pPr>
        <w:keepNext/>
        <w:spacing w:before="160" w:after="40"/>
        <w:outlineLvl w:val="2"/>
      </w:pPr>
      <w:r>
        <w:rPr>
          <w:b/>
          <w:color w:val="29B5E8"/>
          <w:sz w:val="20"/>
        </w:rPr>
        <w:t>Supply chain ontology</w:t>
      </w:r>
    </w:p>
    <w:p>
      <w:pPr>
        <w:spacing w:after="120"/>
      </w:pPr>
      <w:r>
        <w:rPr>
          <w:b w:val="0"/>
          <w:i w:val="0"/>
          <w:sz w:val="20"/>
        </w:rPr>
        <w:t xml:space="preserve">The sibling asset in this family models </w:t>
      </w:r>
      <w:r>
        <w:rPr>
          <w:b/>
          <w:i w:val="0"/>
          <w:sz w:val="20"/>
        </w:rPr>
        <w:t>metadata about SAP data products</w:t>
      </w:r>
      <w:r>
        <w:rPr>
          <w:b w:val="0"/>
          <w:i w:val="0"/>
          <w:sz w:val="20"/>
        </w:rPr>
        <w:t xml:space="preserve"> — which entities exist, how they are annotated, how they associate. Finance 360 models </w:t>
      </w:r>
      <w:r>
        <w:rPr>
          <w:b/>
          <w:i w:val="0"/>
          <w:sz w:val="20"/>
        </w:rPr>
        <w:t>transactional finance data</w:t>
      </w:r>
      <w:r>
        <w:rPr>
          <w:b w:val="0"/>
          <w:i w:val="0"/>
          <w:sz w:val="20"/>
        </w:rPr>
        <w:t>. The two do not overlap and neither subsumes the other.</w:t>
      </w:r>
    </w:p>
    <w:p>
      <w:pPr>
        <w:spacing w:after="120"/>
      </w:pPr>
      <w:r>
        <w:rPr>
          <w:b w:val="0"/>
          <w:i w:val="0"/>
          <w:sz w:val="20"/>
        </w:rPr>
        <w:t xml:space="preserve">Its documentation set is the structural template this handbook follows: the same eight-part arc, the same Word builder, the same shared </w:t>
      </w:r>
      <w:r>
        <w:rPr>
          <w:rFonts w:ascii="Consolas" w:hAnsi="Consolas"/>
          <w:b w:val="0"/>
          <w:i w:val="0"/>
          <w:color w:val="1B5E8C"/>
          <w:sz w:val="19"/>
        </w:rPr>
        <w:t>sap_docx_kit.py</w:t>
      </w:r>
      <w:r>
        <w:rPr>
          <w:b w:val="0"/>
          <w:i w:val="0"/>
          <w:sz w:val="20"/>
        </w:rPr>
        <w:t>. Where this handbook reads differently, it is because the findings differ, not because the format does.</w:t>
      </w:r>
    </w:p>
    <w:p>
      <w:pPr>
        <w:spacing w:after="120"/>
      </w:pPr>
      <w:r>
        <w:rPr>
          <w:b w:val="0"/>
          <w:i w:val="0"/>
          <w:sz w:val="20"/>
        </w:rPr>
        <w:t>Two conventions were taken from it directly and are worth keeping:</w:t>
      </w:r>
    </w:p>
    <w:p>
      <w:pPr>
        <w:pStyle w:val="ListBullet"/>
        <w:spacing w:after="40"/>
      </w:pPr>
      <w:r>
        <w:rPr>
          <w:b/>
          <w:sz w:val="20"/>
        </w:rPr>
        <w:t>Documentation is written from an extracted fact file</w:t>
      </w:r>
      <w:r>
        <w:rPr>
          <w:b w:val="0"/>
          <w:sz w:val="20"/>
        </w:rPr>
        <w:t>, not from memory, so every figure traces to the query that produced it.</w:t>
      </w:r>
    </w:p>
    <w:p>
      <w:pPr>
        <w:pStyle w:val="ListBullet"/>
        <w:spacing w:after="40"/>
      </w:pPr>
      <w:r>
        <w:rPr>
          <w:b/>
          <w:sz w:val="20"/>
        </w:rPr>
        <w:t>Gaps are stated as findings.</w:t>
      </w:r>
      <w:r>
        <w:rPr>
          <w:b w:val="0"/>
          <w:sz w:val="20"/>
        </w:rPr>
        <w:t xml:space="preserve"> Zero verified queries is reported in this handbook as a gap with a severity, not omitted.</w:t>
      </w:r>
    </w:p>
    <w:p>
      <w:pPr>
        <w:keepNext/>
        <w:spacing w:before="160" w:after="40"/>
        <w:outlineLvl w:val="2"/>
      </w:pPr>
      <w:r>
        <w:rPr>
          <w:b/>
          <w:color w:val="29B5E8"/>
          <w:sz w:val="20"/>
        </w:rPr>
        <w:t>Toolchain shared across the family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tools/sap_docx_kit.py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this repository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real Word implementation — palette, page setup, tables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tools/docx_kit.py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every repository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shim re-exporting the above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tools/sap_pptx_kit.py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this repository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PowerPoint equivalent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The kit used to be copied byte-for-byte into each repository, so a branding fix in one silently missed the others. It now lives once, here, and the sibling repos carry only the shim. The shim resolves an absolute path and raises </w:t>
      </w:r>
      <w:r>
        <w:rPr>
          <w:rFonts w:ascii="Consolas" w:hAnsi="Consolas"/>
          <w:b w:val="0"/>
          <w:i w:val="0"/>
          <w:color w:val="1B5E8C"/>
          <w:sz w:val="19"/>
        </w:rPr>
        <w:t>ImportError</w:t>
      </w:r>
      <w:r>
        <w:rPr>
          <w:b w:val="0"/>
          <w:i w:val="0"/>
          <w:sz w:val="20"/>
        </w:rPr>
        <w:t xml:space="preserve"> if this repository is not checked out alongside — a loud failure rather than a silent divergence.</w:t>
      </w:r>
    </w:p>
    <w:p>
      <w:pPr>
        <w:spacing w:after="120"/>
      </w:pPr>
      <w:r>
        <w:rPr>
          <w:b/>
          <w:i w:val="0"/>
          <w:sz w:val="20"/>
        </w:rPr>
        <w:t xml:space="preserve">Edit </w:t>
      </w:r>
      <w:r>
        <w:rPr>
          <w:rFonts w:ascii="Consolas" w:hAnsi="Consolas"/>
          <w:b/>
          <w:i w:val="0"/>
          <w:color w:val="1B5E8C"/>
          <w:sz w:val="19"/>
        </w:rPr>
        <w:t>sap_docx_kit.py</w:t>
      </w:r>
      <w:r>
        <w:rPr>
          <w:b/>
          <w:i w:val="0"/>
          <w:sz w:val="20"/>
        </w:rPr>
        <w:t>. Never edit the shim.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Generated artefacts</w:t>
      </w:r>
    </w:p>
    <w:p>
      <w:pPr>
        <w:spacing w:after="120"/>
      </w:pPr>
      <w:r>
        <w:rPr>
          <w:b w:val="0"/>
          <w:i w:val="0"/>
          <w:sz w:val="20"/>
        </w:rPr>
        <w:t>Regenerated, never hand-edited: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Artefact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Producer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Fact extract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tools/finance_facts.py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verified figures with per-fact provenance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Screenshots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tools/capture_shots.py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9 PNGs +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manifest.json</w:t>
            </w:r>
            <w:r>
              <w:rPr>
                <w:b w:val="0"/>
                <w:sz w:val="17"/>
              </w:rPr>
              <w:t xml:space="preserve"> in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/tmp/finance_shots/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Word handbook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tools/build_docs_docx.py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9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.docx</w:t>
            </w:r>
            <w:r>
              <w:rPr>
                <w:b w:val="0"/>
                <w:sz w:val="17"/>
              </w:rPr>
              <w:t xml:space="preserve"> in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docs/docx/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Management summary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tools/build_management_summary.py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Word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Presales kit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tools/build_presales_kit.py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Word / PowerPoint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Demo deck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docs/SAP_Finance_360_Demo_Guide.pptx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The Word builder is bespoke rather than pandoc for one reason: the output has to match the management summary and the presales kit so the set reads as one family of documents. Palette, page setup, navy table headers and </w:t>
      </w:r>
      <w:r>
        <w:rPr>
          <w:rFonts w:ascii="Consolas" w:hAnsi="Consolas"/>
          <w:b w:val="0"/>
          <w:i w:val="0"/>
          <w:color w:val="1B5E8C"/>
          <w:sz w:val="19"/>
        </w:rPr>
        <w:t>keep_with_next</w:t>
      </w:r>
      <w:r>
        <w:rPr>
          <w:b w:val="0"/>
          <w:i w:val="0"/>
          <w:sz w:val="20"/>
        </w:rPr>
        <w:t xml:space="preserve"> behaviour all come from the shared kit, and none survive a generic converter.</w:t>
      </w:r>
    </w:p>
    <w:p>
      <w:pPr>
        <w:spacing w:after="120"/>
      </w:pPr>
      <w:r>
        <w:rPr>
          <w:b w:val="0"/>
          <w:i w:val="0"/>
          <w:sz w:val="20"/>
        </w:rPr>
        <w:t xml:space="preserve">Its markdown table parser accepts rows </w:t>
      </w:r>
      <w:r>
        <w:rPr>
          <w:b/>
          <w:i w:val="0"/>
          <w:sz w:val="20"/>
        </w:rPr>
        <w:t>with or without</w:t>
      </w:r>
      <w:r>
        <w:rPr>
          <w:b w:val="0"/>
          <w:i w:val="0"/>
          <w:sz w:val="20"/>
        </w:rPr>
        <w:t xml:space="preserve"> leading and trailing pipes. GFM does not require them and this doc set omits them in many places; a parser that insists on them drops those rows without erroring. Preserve that behaviour.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Boundaries in one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Answerable here?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Revenue, expense, net income by fiscal year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DT_PNL_SUMMARY</w:t>
            </w:r>
            <w:r>
              <w:rPr>
                <w:b w:val="0"/>
                <w:sz w:val="17"/>
              </w:rPr>
              <w:t>, reconciled to L0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Expense by cost centre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DT_EXPENSE_BY_COSTCENTER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Revenue by profit centre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DT_REVENUE_BY_PROFITCENTER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GL balance by account and period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DT_GL_BALANCE</w:t>
            </w:r>
            <w:r>
              <w:rPr>
                <w:b w:val="0"/>
                <w:sz w:val="17"/>
              </w:rPr>
              <w:t xml:space="preserve"> — but no app page reads it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AP aging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yes, with caveats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DT_AP_AGING</w:t>
            </w:r>
            <w:r>
              <w:rPr>
                <w:b w:val="0"/>
                <w:sz w:val="17"/>
              </w:rPr>
              <w:t>; gross not comparable to P&amp;L revenue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AR aging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yes, with caveats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DT_AR_AGING</w:t>
            </w:r>
            <w:r>
              <w:rPr>
                <w:b w:val="0"/>
                <w:sz w:val="17"/>
              </w:rPr>
              <w:t xml:space="preserve"> is generated, not shared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Anything by customer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 customer master among the six L1 objects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Cash or bank position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 cash ledger in the products in scope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Period-end close status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not published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Anything after 2025-03-28 in the ledger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last posting date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AR vs revenue over the full AR window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windows do not overlap; AR runs to 2026-05-07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AP questions via Cortex Analyst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DT_AP_AGING</w:t>
            </w:r>
            <w:r>
              <w:rPr>
                <w:b w:val="0"/>
                <w:sz w:val="17"/>
              </w:rPr>
              <w:t xml:space="preserve"> is outside the Analyst model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GL-balance or P&amp;L questions via Cortex Analyst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both tables outside the Analyst model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Which SAP data products exist and how they relate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that is the ontology asset, not this one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Posting, reversing or closing anything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every object here is read-only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