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Analyst and agent</w:t>
      </w:r>
    </w:p>
    <w:p>
      <w:pPr>
        <w:spacing w:after="280"/>
      </w:pPr>
      <w:r>
        <w:rPr>
          <w:color w:val="5A6A7A"/>
          <w:sz w:val="19"/>
        </w:rPr>
        <w:t>Generated from docs/07-analyst-and-agent.md  ·  part 07</w:t>
      </w:r>
    </w:p>
    <w:p>
      <w:pPr>
        <w:spacing w:after="120"/>
      </w:pPr>
      <w:r>
        <w:rPr>
          <w:b w:val="0"/>
          <w:i w:val="0"/>
          <w:sz w:val="20"/>
        </w:rPr>
        <w:t>The natural-language surfaces over this data: what each one reads, what each can answer, and where the coverage stops. This is the part of the stack with the largest gap between what it looks like it can do and what it can do.</w:t>
      </w:r>
    </w:p>
    <w:p>
      <w:pPr>
        <w:spacing w:before="80" w:after="160"/>
        <w:jc w:val="center"/>
      </w:pPr>
      <w:r>
        <w:rPr>
          <w:color w:val="C8D4DE"/>
          <w:sz w:val="12"/>
        </w:rPr>
        <w:t>──────────────────────────────────────────────────────────</w:t>
      </w:r>
    </w:p>
    <w:p>
      <w:pPr>
        <w:keepNext/>
        <w:spacing w:before="240" w:after="60"/>
        <w:outlineLvl w:val="1"/>
      </w:pPr>
      <w:r>
        <w:rPr>
          <w:b/>
          <w:color w:val="1B3A57"/>
          <w:sz w:val="23"/>
        </w:rPr>
        <w:t>Three consumers, three different bindings</w:t>
      </w:r>
    </w:p>
    <w:p>
      <w:pPr>
        <w:spacing w:after="120"/>
      </w:pPr>
      <w:r>
        <w:rPr>
          <w:b w:val="0"/>
          <w:i w:val="0"/>
          <w:sz w:val="20"/>
        </w:rPr>
        <w:t>There are three ways to ask this data a question in natural language, and they do not share a model.</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Consumer</w:t>
            </w:r>
          </w:p>
        </w:tc>
        <w:tc>
          <w:tcPr>
            <w:tcW w:type="dxa" w:w="3528"/>
            <w:shd w:val="clear" w:fill="1B3A57"/>
          </w:tcPr>
          <w:p>
            <w:pPr>
              <w:spacing w:after="20"/>
            </w:pPr>
            <w:r/>
            <w:r>
              <w:rPr>
                <w:b/>
                <w:color w:val="FFFFFF"/>
                <w:sz w:val="17"/>
              </w:rPr>
              <w:t>Reads</w:t>
            </w:r>
          </w:p>
        </w:tc>
        <w:tc>
          <w:tcPr>
            <w:tcW w:type="dxa" w:w="3528"/>
            <w:shd w:val="clear" w:fill="1B3A57"/>
          </w:tcPr>
          <w:p>
            <w:pPr>
              <w:spacing w:after="20"/>
            </w:pPr>
            <w:r/>
            <w:r>
              <w:rPr>
                <w:b/>
                <w:color w:val="FFFFFF"/>
                <w:sz w:val="17"/>
              </w:rPr>
              <w:t>Surface</w:t>
            </w:r>
          </w:p>
        </w:tc>
      </w:tr>
      <w:tr>
        <w:trPr>
          <w:cantSplit/>
        </w:trPr>
        <w:tc>
          <w:tcPr>
            <w:tcW w:type="dxa" w:w="2880"/>
          </w:tcPr>
          <w:p>
            <w:pPr>
              <w:spacing w:after="20"/>
            </w:pPr>
            <w:r/>
            <w:r>
              <w:rPr>
                <w:b w:val="0"/>
                <w:sz w:val="17"/>
              </w:rPr>
              <w:t xml:space="preserve">App server route </w:t>
            </w:r>
            <w:r>
              <w:rPr>
                <w:rFonts w:ascii="Consolas" w:hAnsi="Consolas"/>
                <w:b w:val="0"/>
                <w:color w:val="1B5E8C"/>
                <w:sz w:val="16"/>
              </w:rPr>
              <w:t>/api/analyst</w:t>
            </w:r>
            <w:r>
              <w:rPr>
                <w:b w:val="0"/>
                <w:sz w:val="17"/>
              </w:rPr>
              <w:t xml:space="preserve"> (no page)</w:t>
            </w:r>
          </w:p>
        </w:tc>
        <w:tc>
          <w:tcPr>
            <w:tcW w:type="dxa" w:w="3528"/>
          </w:tcPr>
          <w:p>
            <w:pPr>
              <w:spacing w:after="20"/>
            </w:pPr>
            <w:r/>
            <w:r>
              <w:rPr>
                <w:b w:val="0"/>
                <w:sz w:val="17"/>
              </w:rPr>
              <w:t xml:space="preserve">the </w:t>
            </w:r>
            <w:r>
              <w:rPr>
                <w:b/>
                <w:sz w:val="17"/>
              </w:rPr>
              <w:t>stage YAML</w:t>
            </w:r>
          </w:p>
        </w:tc>
        <w:tc>
          <w:tcPr>
            <w:tcW w:type="dxa" w:w="3528"/>
          </w:tcPr>
          <w:p>
            <w:pPr>
              <w:spacing w:after="20"/>
            </w:pPr>
            <w:r/>
            <w:r>
              <w:rPr>
                <w:b w:val="0"/>
                <w:sz w:val="17"/>
              </w:rPr>
              <w:t>the deployed React app</w:t>
            </w:r>
          </w:p>
        </w:tc>
      </w:tr>
      <w:tr>
        <w:trPr>
          <w:cantSplit/>
        </w:trPr>
        <w:tc>
          <w:tcPr>
            <w:tcW w:type="dxa" w:w="2880"/>
            <w:shd w:val="clear" w:fill="EEF4F8"/>
          </w:tcPr>
          <w:p>
            <w:pPr>
              <w:spacing w:after="20"/>
            </w:pPr>
            <w:r/>
            <w:r>
              <w:rPr>
                <w:rFonts w:ascii="Consolas" w:hAnsi="Consolas"/>
                <w:b w:val="0"/>
                <w:color w:val="1B5E8C"/>
                <w:sz w:val="16"/>
              </w:rPr>
              <w:t>SAP_FINANCE_360_AGENT</w:t>
            </w:r>
          </w:p>
        </w:tc>
        <w:tc>
          <w:tcPr>
            <w:tcW w:type="dxa" w:w="3528"/>
            <w:shd w:val="clear" w:fill="EEF4F8"/>
          </w:tcPr>
          <w:p>
            <w:pPr>
              <w:spacing w:after="20"/>
            </w:pPr>
            <w:r/>
            <w:r>
              <w:rPr>
                <w:b w:val="0"/>
                <w:sz w:val="17"/>
              </w:rPr>
              <w:t>a semantic view</w:t>
            </w:r>
          </w:p>
        </w:tc>
        <w:tc>
          <w:tcPr>
            <w:tcW w:type="dxa" w:w="3528"/>
            <w:shd w:val="clear" w:fill="EEF4F8"/>
          </w:tcPr>
          <w:p>
            <w:pPr>
              <w:spacing w:after="20"/>
            </w:pPr>
            <w:r/>
            <w:r>
              <w:rPr>
                <w:b w:val="0"/>
                <w:sz w:val="17"/>
              </w:rPr>
              <w:t>Snowflake Intelligence</w:t>
            </w:r>
          </w:p>
        </w:tc>
      </w:tr>
      <w:tr>
        <w:trPr>
          <w:cantSplit/>
        </w:trPr>
        <w:tc>
          <w:tcPr>
            <w:tcW w:type="dxa" w:w="2880"/>
          </w:tcPr>
          <w:p>
            <w:pPr>
              <w:spacing w:after="20"/>
            </w:pPr>
            <w:r/>
            <w:r>
              <w:rPr>
                <w:b w:val="0"/>
                <w:sz w:val="17"/>
              </w:rPr>
              <w:t xml:space="preserve">Hand-written </w:t>
            </w:r>
            <w:r>
              <w:rPr>
                <w:rFonts w:ascii="Consolas" w:hAnsi="Consolas"/>
                <w:b w:val="0"/>
                <w:color w:val="1B5E8C"/>
                <w:sz w:val="16"/>
              </w:rPr>
              <w:t>SEMANTIC_VIEW(...)</w:t>
            </w:r>
          </w:p>
        </w:tc>
        <w:tc>
          <w:tcPr>
            <w:tcW w:type="dxa" w:w="3528"/>
          </w:tcPr>
          <w:p>
            <w:pPr>
              <w:spacing w:after="20"/>
            </w:pPr>
            <w:r/>
            <w:r>
              <w:rPr>
                <w:b w:val="0"/>
                <w:sz w:val="17"/>
              </w:rPr>
              <w:t>the named semantic view</w:t>
            </w:r>
          </w:p>
        </w:tc>
        <w:tc>
          <w:tcPr>
            <w:tcW w:type="dxa" w:w="3528"/>
          </w:tcPr>
          <w:p>
            <w:pPr>
              <w:spacing w:after="20"/>
            </w:pPr>
            <w:r/>
            <w:r>
              <w:rPr>
                <w:b w:val="0"/>
                <w:sz w:val="17"/>
              </w:rPr>
              <w:t>worksheet or client</w:t>
            </w:r>
          </w:p>
        </w:tc>
      </w:tr>
    </w:tbl>
    <w:p>
      <w:pPr>
        <w:spacing w:after="80"/>
      </w:pPr>
    </w:p>
    <w:p>
      <w:pPr>
        <w:spacing w:after="120"/>
      </w:pPr>
      <w:r>
        <w:rPr>
          <w:b/>
          <w:i w:val="0"/>
          <w:sz w:val="20"/>
        </w:rPr>
        <w:t>The app reads the stage model.</w:t>
      </w:r>
      <w:r>
        <w:rPr>
          <w:b w:val="0"/>
          <w:i w:val="0"/>
          <w:sz w:val="20"/>
        </w:rPr>
        <w:t xml:space="preserve"> Not </w:t>
      </w:r>
      <w:r>
        <w:rPr>
          <w:rFonts w:ascii="Consolas" w:hAnsi="Consolas"/>
          <w:b w:val="0"/>
          <w:i w:val="0"/>
          <w:color w:val="1B5E8C"/>
          <w:sz w:val="19"/>
        </w:rPr>
        <w:t>ANALYTICS.SAP_FINANCE_360</w:t>
      </w:r>
      <w:r>
        <w:rPr>
          <w:b w:val="0"/>
          <w:i w:val="0"/>
          <w:sz w:val="20"/>
        </w:rPr>
        <w:t xml:space="preserve">, not </w:t>
      </w:r>
      <w:r>
        <w:rPr>
          <w:rFonts w:ascii="Consolas" w:hAnsi="Consolas"/>
          <w:b w:val="0"/>
          <w:i w:val="0"/>
          <w:color w:val="1B5E8C"/>
          <w:sz w:val="19"/>
        </w:rPr>
        <w:t>SEMANTIC.SAP_FINANCE_360_ANALYTICS</w:t>
      </w:r>
      <w:r>
        <w:rPr>
          <w:b w:val="0"/>
          <w:i w:val="0"/>
          <w:sz w:val="20"/>
        </w:rPr>
        <w:t>. This was got wrong once during the build and it wasted real time, because the symptom of getting it wrong is indistinguishable from an edit having no effect: you change a semantic view, reload the app, and every answer is identical.</w:t>
      </w:r>
    </w:p>
    <w:p>
      <w:pPr>
        <w:spacing w:after="120"/>
      </w:pPr>
      <w:r>
        <w:rPr>
          <w:b w:val="0"/>
          <w:i w:val="0"/>
          <w:sz w:val="20"/>
        </w:rPr>
        <w:t xml:space="preserve">If an answer on the app's </w:t>
      </w:r>
      <w:r>
        <w:rPr>
          <w:rFonts w:ascii="Consolas" w:hAnsi="Consolas"/>
          <w:b w:val="0"/>
          <w:i w:val="0"/>
          <w:color w:val="1B5E8C"/>
          <w:sz w:val="19"/>
        </w:rPr>
        <w:t>/api/analyst</w:t>
      </w:r>
      <w:r>
        <w:rPr>
          <w:b w:val="0"/>
          <w:i w:val="0"/>
          <w:sz w:val="20"/>
        </w:rPr>
        <w:t xml:space="preserve"> route is wrong, the artefact to change is: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@SAP_FINANCE_360.SEMANTIC.SEMANTIC_MODELS/finance_360.semantic.yaml</w:t>
            </w:r>
          </w:p>
        </w:tc>
      </w:tr>
    </w:tbl>
    <w:p>
      <w:pPr>
        <w:spacing w:after="80"/>
      </w:pPr>
    </w:p>
    <w:p>
      <w:pPr>
        <w:spacing w:after="120"/>
      </w:pPr>
      <w:r>
        <w:rPr>
          <w:b w:val="0"/>
          <w:i w:val="0"/>
          <w:sz w:val="20"/>
        </w:rPr>
        <w:t>Verifying the agent in Snowflake Intelligence does not verify the app, and the reverse is also true. Both have to be tested separately.</w:t>
      </w:r>
    </w:p>
    <w:p>
      <w:pPr>
        <w:spacing w:before="80" w:after="160"/>
        <w:jc w:val="center"/>
      </w:pPr>
      <w:r>
        <w:rPr>
          <w:color w:val="C8D4DE"/>
          <w:sz w:val="12"/>
        </w:rPr>
        <w:t>──────────────────────────────────────────────────────────</w:t>
      </w:r>
    </w:p>
    <w:p>
      <w:pPr>
        <w:keepNext/>
        <w:spacing w:before="240" w:after="60"/>
        <w:outlineLvl w:val="1"/>
      </w:pPr>
      <w:r>
        <w:rPr>
          <w:b/>
          <w:color w:val="1B3A57"/>
          <w:sz w:val="23"/>
        </w:rPr>
        <w:t>The stage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path</w:t>
            </w:r>
          </w:p>
        </w:tc>
        <w:tc>
          <w:tcPr>
            <w:tcW w:type="dxa" w:w="7056"/>
          </w:tcPr>
          <w:p>
            <w:pPr>
              <w:spacing w:after="20"/>
            </w:pPr>
            <w:r/>
            <w:r>
              <w:rPr>
                <w:rFonts w:ascii="Consolas" w:hAnsi="Consolas"/>
                <w:b w:val="0"/>
                <w:color w:val="1B5E8C"/>
                <w:sz w:val="16"/>
              </w:rPr>
              <w:t>@SAP_FINANCE_360.SEMANTIC.SEMANTIC_MODELS/finance_360.semantic.yaml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sap_finance_360</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24</w:t>
            </w:r>
          </w:p>
        </w:tc>
      </w:tr>
      <w:tr>
        <w:trPr>
          <w:cantSplit/>
        </w:trPr>
        <w:tc>
          <w:tcPr>
            <w:tcW w:type="dxa" w:w="2880"/>
          </w:tcPr>
          <w:p>
            <w:pPr>
              <w:spacing w:after="20"/>
            </w:pPr>
            <w:r/>
            <w:r>
              <w:rPr>
                <w:b w:val="0"/>
                <w:sz w:val="17"/>
              </w:rPr>
              <w:t>Measures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The four base tables, all from L2:</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Base table</w:t>
            </w:r>
          </w:p>
        </w:tc>
        <w:tc>
          <w:tcPr>
            <w:tcW w:type="dxa" w:w="3528"/>
            <w:shd w:val="clear" w:fill="1B3A57"/>
          </w:tcPr>
          <w:p>
            <w:pPr>
              <w:spacing w:after="20"/>
            </w:pPr>
            <w:r/>
            <w:r>
              <w:rPr>
                <w:b/>
                <w:color w:val="FFFFFF"/>
                <w:sz w:val="17"/>
              </w:rPr>
              <w:t>Logical name in model</w:t>
            </w:r>
          </w:p>
        </w:tc>
        <w:tc>
          <w:tcPr>
            <w:tcW w:type="dxa" w:w="3528"/>
            <w:shd w:val="clear" w:fill="1B3A57"/>
          </w:tcPr>
          <w:p>
            <w:pPr>
              <w:spacing w:after="20"/>
            </w:pPr>
            <w:r/>
            <w:r>
              <w:rPr>
                <w:b/>
                <w:color w:val="FFFFFF"/>
                <w:sz w:val="17"/>
              </w:rPr>
              <w:t>Rows</w:t>
            </w:r>
          </w:p>
        </w:tc>
      </w:tr>
      <w:tr>
        <w:trPr>
          <w:cantSplit/>
        </w:trPr>
        <w:tc>
          <w:tcPr>
            <w:tcW w:type="dxa" w:w="2880"/>
          </w:tcPr>
          <w:p>
            <w:pPr>
              <w:spacing w:after="20"/>
            </w:pPr>
            <w:r/>
            <w:r>
              <w:rPr>
                <w:rFonts w:ascii="Consolas" w:hAnsi="Consolas"/>
                <w:b w:val="0"/>
                <w:color w:val="1B5E8C"/>
                <w:sz w:val="16"/>
              </w:rPr>
              <w:t>ANALYTICS.DT_JOURNAL_ENTRY_360</w:t>
            </w:r>
          </w:p>
        </w:tc>
        <w:tc>
          <w:tcPr>
            <w:tcW w:type="dxa" w:w="3528"/>
          </w:tcPr>
          <w:p>
            <w:pPr>
              <w:spacing w:after="20"/>
            </w:pPr>
            <w:r/>
            <w:r>
              <w:rPr>
                <w:b w:val="0"/>
                <w:sz w:val="17"/>
              </w:rPr>
              <w:t>Journal Entry 360</w:t>
            </w:r>
          </w:p>
        </w:tc>
        <w:tc>
          <w:tcPr>
            <w:tcW w:type="dxa" w:w="3528"/>
          </w:tcPr>
          <w:p>
            <w:pPr>
              <w:spacing w:after="20"/>
            </w:pPr>
            <w:r/>
            <w:r>
              <w:rPr>
                <w:b w:val="0"/>
                <w:sz w:val="17"/>
              </w:rPr>
              <w:t>10,300</w:t>
            </w:r>
          </w:p>
        </w:tc>
      </w:tr>
      <w:tr>
        <w:trPr>
          <w:cantSplit/>
        </w:trPr>
        <w:tc>
          <w:tcPr>
            <w:tcW w:type="dxa" w:w="2880"/>
            <w:shd w:val="clear" w:fill="EEF4F8"/>
          </w:tcPr>
          <w:p>
            <w:pPr>
              <w:spacing w:after="20"/>
            </w:pPr>
            <w:r/>
            <w:r>
              <w:rPr>
                <w:rFonts w:ascii="Consolas" w:hAnsi="Consolas"/>
                <w:b w:val="0"/>
                <w:color w:val="1B5E8C"/>
                <w:sz w:val="16"/>
              </w:rPr>
              <w:t>ANALYTICS.DT_AR_AGING</w:t>
            </w:r>
          </w:p>
        </w:tc>
        <w:tc>
          <w:tcPr>
            <w:tcW w:type="dxa" w:w="3528"/>
            <w:shd w:val="clear" w:fill="EEF4F8"/>
          </w:tcPr>
          <w:p>
            <w:pPr>
              <w:spacing w:after="20"/>
            </w:pPr>
            <w:r/>
            <w:r>
              <w:rPr>
                <w:b w:val="0"/>
                <w:sz w:val="17"/>
              </w:rPr>
              <w:t>Ar Aging</w:t>
            </w:r>
          </w:p>
        </w:tc>
        <w:tc>
          <w:tcPr>
            <w:tcW w:type="dxa" w:w="3528"/>
            <w:shd w:val="clear" w:fill="EEF4F8"/>
          </w:tcPr>
          <w:p>
            <w:pPr>
              <w:spacing w:after="20"/>
            </w:pPr>
            <w:r/>
            <w:r>
              <w:rPr>
                <w:b w:val="0"/>
                <w:sz w:val="17"/>
              </w:rPr>
              <w:t>3,868</w:t>
            </w:r>
          </w:p>
        </w:tc>
      </w:tr>
      <w:tr>
        <w:trPr>
          <w:cantSplit/>
        </w:trPr>
        <w:tc>
          <w:tcPr>
            <w:tcW w:type="dxa" w:w="2880"/>
          </w:tcPr>
          <w:p>
            <w:pPr>
              <w:spacing w:after="20"/>
            </w:pPr>
            <w:r/>
            <w:r>
              <w:rPr>
                <w:rFonts w:ascii="Consolas" w:hAnsi="Consolas"/>
                <w:b w:val="0"/>
                <w:color w:val="1B5E8C"/>
                <w:sz w:val="16"/>
              </w:rPr>
              <w:t>ANALYTICS.DT_EXPENSE_BY_COSTCENTER</w:t>
            </w:r>
          </w:p>
        </w:tc>
        <w:tc>
          <w:tcPr>
            <w:tcW w:type="dxa" w:w="3528"/>
          </w:tcPr>
          <w:p>
            <w:pPr>
              <w:spacing w:after="20"/>
            </w:pPr>
            <w:r/>
            <w:r>
              <w:rPr>
                <w:b w:val="0"/>
                <w:sz w:val="17"/>
              </w:rPr>
              <w:t>Expense By Costcenter</w:t>
            </w:r>
          </w:p>
        </w:tc>
        <w:tc>
          <w:tcPr>
            <w:tcW w:type="dxa" w:w="3528"/>
          </w:tcPr>
          <w:p>
            <w:pPr>
              <w:spacing w:after="20"/>
            </w:pPr>
            <w:r/>
            <w:r>
              <w:rPr>
                <w:b w:val="0"/>
                <w:sz w:val="17"/>
              </w:rPr>
              <w:t>2,459</w:t>
            </w:r>
          </w:p>
        </w:tc>
      </w:tr>
      <w:tr>
        <w:trPr>
          <w:cantSplit/>
        </w:trPr>
        <w:tc>
          <w:tcPr>
            <w:tcW w:type="dxa" w:w="2880"/>
            <w:shd w:val="clear" w:fill="EEF4F8"/>
          </w:tcPr>
          <w:p>
            <w:pPr>
              <w:spacing w:after="20"/>
            </w:pPr>
            <w:r/>
            <w:r>
              <w:rPr>
                <w:rFonts w:ascii="Consolas" w:hAnsi="Consolas"/>
                <w:b w:val="0"/>
                <w:color w:val="1B5E8C"/>
                <w:sz w:val="16"/>
              </w:rPr>
              <w:t>ANALYTICS.DT_REVENUE_BY_PROFITCENTER</w:t>
            </w:r>
          </w:p>
        </w:tc>
        <w:tc>
          <w:tcPr>
            <w:tcW w:type="dxa" w:w="3528"/>
            <w:shd w:val="clear" w:fill="EEF4F8"/>
          </w:tcPr>
          <w:p>
            <w:pPr>
              <w:spacing w:after="20"/>
            </w:pPr>
            <w:r/>
            <w:r>
              <w:rPr>
                <w:b w:val="0"/>
                <w:sz w:val="17"/>
              </w:rPr>
              <w:t>Revenue By Profitcenter</w:t>
            </w:r>
          </w:p>
        </w:tc>
        <w:tc>
          <w:tcPr>
            <w:tcW w:type="dxa" w:w="3528"/>
            <w:shd w:val="clear" w:fill="EEF4F8"/>
          </w:tcPr>
          <w:p>
            <w:pPr>
              <w:spacing w:after="20"/>
            </w:pPr>
            <w:r/>
            <w:r>
              <w:rPr>
                <w:b w:val="0"/>
                <w:sz w:val="17"/>
              </w:rPr>
              <w:t>1,091</w:t>
            </w:r>
          </w:p>
        </w:tc>
      </w:tr>
    </w:tbl>
    <w:p>
      <w:pPr>
        <w:spacing w:after="80"/>
      </w:pPr>
    </w:p>
    <w:p>
      <w:pPr>
        <w:spacing w:after="120"/>
      </w:pPr>
      <w:r>
        <w:rPr>
          <w:b w:val="0"/>
          <w:i w:val="0"/>
          <w:sz w:val="20"/>
        </w:rPr>
        <w:t xml:space="preserve">24 dimensions and 9 measures across four tables is a modest, deliberately small model — roughly six dimensions and two measures per table. That is a reasonable shape for Analyst, which degrades when given hundreds of undescribed columns. Contrast the semantic views, whose </w:t>
      </w:r>
      <w:r>
        <w:rPr>
          <w:rFonts w:ascii="Consolas" w:hAnsi="Consolas"/>
          <w:b w:val="0"/>
          <w:i w:val="0"/>
          <w:color w:val="1B5E8C"/>
          <w:sz w:val="19"/>
        </w:rPr>
        <w:t>DESCRIBE</w:t>
      </w:r>
      <w:r>
        <w:rPr>
          <w:b w:val="0"/>
          <w:i w:val="0"/>
          <w:sz w:val="20"/>
        </w:rPr>
        <w:t xml:space="preserve"> output runs to 120 and 251 dimensions because every retained SAP column becomes one.</w:t>
      </w:r>
    </w:p>
    <w:p>
      <w:pPr>
        <w:spacing w:after="120"/>
      </w:pPr>
      <w:r>
        <w:rPr>
          <w:rFonts w:ascii="Consolas" w:hAnsi="Consolas"/>
          <w:b w:val="0"/>
          <w:i w:val="0"/>
          <w:color w:val="1B5E8C"/>
          <w:sz w:val="19"/>
        </w:rPr>
        <w:t>facts: 0</w:t>
      </w:r>
      <w:r>
        <w:rPr>
          <w:b w:val="0"/>
          <w:i w:val="0"/>
          <w:sz w:val="20"/>
        </w:rPr>
        <w:t xml:space="preserve"> is expected here: in this model the numeric columns are declared as measures rather than as facts.</w:t>
      </w:r>
    </w:p>
    <w:p>
      <w:pPr>
        <w:spacing w:before="80" w:after="160"/>
        <w:jc w:val="center"/>
      </w:pPr>
      <w:r>
        <w:rPr>
          <w:color w:val="C8D4DE"/>
          <w:sz w:val="12"/>
        </w:rPr>
        <w:t>──────────────────────────────────────────────────────────</w:t>
      </w:r>
    </w:p>
    <w:p>
      <w:pPr>
        <w:keepNext/>
        <w:spacing w:before="240" w:after="60"/>
        <w:outlineLvl w:val="1"/>
      </w:pPr>
      <w:r>
        <w:rPr>
          <w:b/>
          <w:color w:val="1B3A57"/>
          <w:sz w:val="23"/>
        </w:rPr>
        <w:t>What the model covers, and what it does not</w:t>
      </w:r>
    </w:p>
    <w:p>
      <w:pPr>
        <w:spacing w:after="120"/>
      </w:pPr>
      <w:r>
        <w:rPr>
          <w:b w:val="0"/>
          <w:i w:val="0"/>
          <w:sz w:val="20"/>
        </w:rPr>
        <w:t>Three of the seven L2 objects are absent: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L2 object</w:t>
            </w:r>
          </w:p>
        </w:tc>
        <w:tc>
          <w:tcPr>
            <w:tcW w:type="dxa" w:w="2484"/>
            <w:shd w:val="clear" w:fill="1B3A57"/>
          </w:tcPr>
          <w:p>
            <w:pPr>
              <w:spacing w:after="20"/>
            </w:pPr>
            <w:r/>
            <w:r>
              <w:rPr>
                <w:b/>
                <w:color w:val="FFFFFF"/>
                <w:sz w:val="17"/>
              </w:rPr>
              <w:t>Rows</w:t>
            </w:r>
          </w:p>
        </w:tc>
        <w:tc>
          <w:tcPr>
            <w:tcW w:type="dxa" w:w="2484"/>
            <w:shd w:val="clear" w:fill="1B3A57"/>
          </w:tcPr>
          <w:p>
            <w:pPr>
              <w:spacing w:after="20"/>
            </w:pPr>
            <w:r/>
            <w:r>
              <w:rPr>
                <w:b/>
                <w:color w:val="FFFFFF"/>
                <w:sz w:val="17"/>
              </w:rPr>
              <w:t>In Analyst model</w:t>
            </w:r>
          </w:p>
        </w:tc>
        <w:tc>
          <w:tcPr>
            <w:tcW w:type="dxa" w:w="2484"/>
            <w:shd w:val="clear" w:fill="1B3A57"/>
          </w:tcPr>
          <w:p>
            <w:pPr>
              <w:spacing w:after="20"/>
            </w:pPr>
            <w:r/>
            <w:r>
              <w:rPr>
                <w:b/>
                <w:color w:val="FFFFFF"/>
                <w:sz w:val="17"/>
              </w:rPr>
              <w:t>Has an app page</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b w:val="0"/>
                <w:sz w:val="17"/>
              </w:rPr>
              <w:t>10,300</w:t>
            </w:r>
          </w:p>
        </w:tc>
        <w:tc>
          <w:tcPr>
            <w:tcW w:type="dxa" w:w="2484"/>
          </w:tcPr>
          <w:p>
            <w:pPr>
              <w:spacing w:after="20"/>
            </w:pPr>
            <w:r/>
            <w:r>
              <w:rPr>
                <w:b w:val="0"/>
                <w:sz w:val="17"/>
              </w:rPr>
              <w:t>yes</w:t>
            </w:r>
          </w:p>
        </w:tc>
        <w:tc>
          <w:tcPr>
            <w:tcW w:type="dxa" w:w="2484"/>
          </w:tcPr>
          <w:p>
            <w:pPr>
              <w:spacing w:after="20"/>
            </w:pPr>
            <w:r/>
            <w:r>
              <w:rPr>
                <w:b w:val="0"/>
                <w:sz w:val="17"/>
              </w:rPr>
              <w:t>General Ledger, Period Analysis</w:t>
            </w:r>
          </w:p>
        </w:tc>
      </w:tr>
      <w:tr>
        <w:trPr>
          <w:cantSplit/>
        </w:trPr>
        <w:tc>
          <w:tcPr>
            <w:tcW w:type="dxa" w:w="2484"/>
            <w:shd w:val="clear" w:fill="EEF4F8"/>
          </w:tcPr>
          <w:p>
            <w:pPr>
              <w:spacing w:after="20"/>
            </w:pPr>
            <w:r/>
            <w:r>
              <w:rPr>
                <w:rFonts w:ascii="Consolas" w:hAnsi="Consolas"/>
                <w:b w:val="0"/>
                <w:color w:val="1B5E8C"/>
                <w:sz w:val="16"/>
              </w:rPr>
              <w:t>DT_AR_AGING</w:t>
            </w:r>
          </w:p>
        </w:tc>
        <w:tc>
          <w:tcPr>
            <w:tcW w:type="dxa" w:w="2484"/>
            <w:shd w:val="clear" w:fill="EEF4F8"/>
          </w:tcPr>
          <w:p>
            <w:pPr>
              <w:spacing w:after="20"/>
            </w:pPr>
            <w:r/>
            <w:r>
              <w:rPr>
                <w:b w:val="0"/>
                <w:sz w:val="17"/>
              </w:rPr>
              <w:t>3,868</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Accounts Receivable</w:t>
            </w:r>
          </w:p>
        </w:tc>
      </w:tr>
      <w:tr>
        <w:trPr>
          <w:cantSplit/>
        </w:trPr>
        <w:tc>
          <w:tcPr>
            <w:tcW w:type="dxa" w:w="2484"/>
          </w:tcPr>
          <w:p>
            <w:pPr>
              <w:spacing w:after="20"/>
            </w:pPr>
            <w:r/>
            <w:r>
              <w:rPr>
                <w:rFonts w:ascii="Consolas" w:hAnsi="Consolas"/>
                <w:b w:val="0"/>
                <w:color w:val="1B5E8C"/>
                <w:sz w:val="16"/>
              </w:rPr>
              <w:t>DT_EXPENSE_BY_COSTCENTER</w:t>
            </w:r>
          </w:p>
        </w:tc>
        <w:tc>
          <w:tcPr>
            <w:tcW w:type="dxa" w:w="2484"/>
          </w:tcPr>
          <w:p>
            <w:pPr>
              <w:spacing w:after="20"/>
            </w:pPr>
            <w:r/>
            <w:r>
              <w:rPr>
                <w:b w:val="0"/>
                <w:sz w:val="17"/>
              </w:rPr>
              <w:t>2,459</w:t>
            </w:r>
          </w:p>
        </w:tc>
        <w:tc>
          <w:tcPr>
            <w:tcW w:type="dxa" w:w="2484"/>
          </w:tcPr>
          <w:p>
            <w:pPr>
              <w:spacing w:after="20"/>
            </w:pPr>
            <w:r/>
            <w:r>
              <w:rPr>
                <w:b w:val="0"/>
                <w:sz w:val="17"/>
              </w:rPr>
              <w:t>yes</w:t>
            </w:r>
          </w:p>
        </w:tc>
        <w:tc>
          <w:tcPr>
            <w:tcW w:type="dxa" w:w="2484"/>
          </w:tcPr>
          <w:p>
            <w:pPr>
              <w:spacing w:after="20"/>
            </w:pPr>
            <w:r/>
            <w:r>
              <w:rPr>
                <w:b w:val="0"/>
                <w:sz w:val="17"/>
              </w:rPr>
              <w:t>Cost Centers</w:t>
            </w:r>
          </w:p>
        </w:tc>
      </w:tr>
      <w:tr>
        <w:trPr>
          <w:cantSplit/>
        </w:trPr>
        <w:tc>
          <w:tcPr>
            <w:tcW w:type="dxa" w:w="2484"/>
            <w:shd w:val="clear" w:fill="EEF4F8"/>
          </w:tcPr>
          <w:p>
            <w:pPr>
              <w:spacing w:after="20"/>
            </w:pPr>
            <w:r/>
            <w:r>
              <w:rPr>
                <w:rFonts w:ascii="Consolas" w:hAnsi="Consolas"/>
                <w:b w:val="0"/>
                <w:color w:val="1B5E8C"/>
                <w:sz w:val="16"/>
              </w:rPr>
              <w:t>DT_REVENUE_BY_PROFITCENTER</w:t>
            </w:r>
          </w:p>
        </w:tc>
        <w:tc>
          <w:tcPr>
            <w:tcW w:type="dxa" w:w="2484"/>
            <w:shd w:val="clear" w:fill="EEF4F8"/>
          </w:tcPr>
          <w:p>
            <w:pPr>
              <w:spacing w:after="20"/>
            </w:pPr>
            <w:r/>
            <w:r>
              <w:rPr>
                <w:b w:val="0"/>
                <w:sz w:val="17"/>
              </w:rPr>
              <w:t>1,091</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Profit Centers</w:t>
            </w:r>
          </w:p>
        </w:tc>
      </w:tr>
      <w:tr>
        <w:trPr>
          <w:cantSplit/>
        </w:trPr>
        <w:tc>
          <w:tcPr>
            <w:tcW w:type="dxa" w:w="2484"/>
          </w:tcPr>
          <w:p>
            <w:pPr>
              <w:spacing w:after="20"/>
            </w:pPr>
            <w:r/>
            <w:r>
              <w:rPr>
                <w:rFonts w:ascii="Consolas" w:hAnsi="Consolas"/>
                <w:b w:val="0"/>
                <w:color w:val="1B5E8C"/>
                <w:sz w:val="16"/>
              </w:rPr>
              <w:t>DT_AP_AGING</w:t>
            </w:r>
          </w:p>
        </w:tc>
        <w:tc>
          <w:tcPr>
            <w:tcW w:type="dxa" w:w="2484"/>
          </w:tcPr>
          <w:p>
            <w:pPr>
              <w:spacing w:after="20"/>
            </w:pPr>
            <w:r/>
            <w:r>
              <w:rPr>
                <w:b w:val="0"/>
                <w:sz w:val="17"/>
              </w:rPr>
              <w:t>419</w:t>
            </w:r>
          </w:p>
        </w:tc>
        <w:tc>
          <w:tcPr>
            <w:tcW w:type="dxa" w:w="2484"/>
          </w:tcPr>
          <w:p>
            <w:pPr>
              <w:spacing w:after="20"/>
            </w:pPr>
            <w:r/>
            <w:r>
              <w:rPr>
                <w:b/>
                <w:sz w:val="17"/>
              </w:rPr>
              <w:t>no</w:t>
            </w:r>
          </w:p>
        </w:tc>
        <w:tc>
          <w:tcPr>
            <w:tcW w:type="dxa" w:w="2484"/>
          </w:tcPr>
          <w:p>
            <w:pPr>
              <w:spacing w:after="20"/>
            </w:pPr>
            <w:r/>
            <w:r>
              <w:rPr>
                <w:b w:val="0"/>
                <w:sz w:val="17"/>
              </w:rPr>
              <w:t>Accounts Payable</w:t>
            </w:r>
          </w:p>
        </w:tc>
      </w:tr>
      <w:tr>
        <w:trPr>
          <w:cantSplit/>
        </w:trPr>
        <w:tc>
          <w:tcPr>
            <w:tcW w:type="dxa" w:w="2484"/>
            <w:shd w:val="clear" w:fill="EEF4F8"/>
          </w:tcPr>
          <w:p>
            <w:pPr>
              <w:spacing w:after="20"/>
            </w:pPr>
            <w:r/>
            <w:r>
              <w:rPr>
                <w:rFonts w:ascii="Consolas" w:hAnsi="Consolas"/>
                <w:b w:val="0"/>
                <w:color w:val="1B5E8C"/>
                <w:sz w:val="16"/>
              </w:rPr>
              <w:t>DT_GL_BALANCE</w:t>
            </w:r>
          </w:p>
        </w:tc>
        <w:tc>
          <w:tcPr>
            <w:tcW w:type="dxa" w:w="2484"/>
            <w:shd w:val="clear" w:fill="EEF4F8"/>
          </w:tcPr>
          <w:p>
            <w:pPr>
              <w:spacing w:after="20"/>
            </w:pPr>
            <w:r/>
            <w:r>
              <w:rPr>
                <w:b w:val="0"/>
                <w:sz w:val="17"/>
              </w:rPr>
              <w:t>1,793</w:t>
            </w:r>
          </w:p>
        </w:tc>
        <w:tc>
          <w:tcPr>
            <w:tcW w:type="dxa" w:w="2484"/>
            <w:shd w:val="clear" w:fill="EEF4F8"/>
          </w:tcPr>
          <w:p>
            <w:pPr>
              <w:spacing w:after="20"/>
            </w:pPr>
            <w:r/>
            <w:r>
              <w:rPr>
                <w:b/>
                <w:sz w:val="17"/>
              </w:rPr>
              <w:t>no</w:t>
            </w:r>
          </w:p>
        </w:tc>
        <w:tc>
          <w:tcPr>
            <w:tcW w:type="dxa" w:w="2484"/>
            <w:shd w:val="clear" w:fill="EEF4F8"/>
          </w:tcPr>
          <w:p>
            <w:pPr>
              <w:spacing w:after="20"/>
            </w:pPr>
            <w:r/>
            <w:r>
              <w:rPr>
                <w:b w:val="0"/>
                <w:sz w:val="17"/>
              </w:rPr>
              <w:t>—</w:t>
            </w:r>
          </w:p>
        </w:tc>
      </w:tr>
      <w:tr>
        <w:trPr>
          <w:cantSplit/>
        </w:trPr>
        <w:tc>
          <w:tcPr>
            <w:tcW w:type="dxa" w:w="2484"/>
          </w:tcPr>
          <w:p>
            <w:pPr>
              <w:spacing w:after="20"/>
            </w:pPr>
            <w:r/>
            <w:r>
              <w:rPr>
                <w:rFonts w:ascii="Consolas" w:hAnsi="Consolas"/>
                <w:b w:val="0"/>
                <w:color w:val="1B5E8C"/>
                <w:sz w:val="16"/>
              </w:rPr>
              <w:t>DT_PNL_SUMMARY</w:t>
            </w:r>
          </w:p>
        </w:tc>
        <w:tc>
          <w:tcPr>
            <w:tcW w:type="dxa" w:w="2484"/>
          </w:tcPr>
          <w:p>
            <w:pPr>
              <w:spacing w:after="20"/>
            </w:pPr>
            <w:r/>
            <w:r>
              <w:rPr>
                <w:b w:val="0"/>
                <w:sz w:val="17"/>
              </w:rPr>
              <w:t>81</w:t>
            </w:r>
          </w:p>
        </w:tc>
        <w:tc>
          <w:tcPr>
            <w:tcW w:type="dxa" w:w="2484"/>
          </w:tcPr>
          <w:p>
            <w:pPr>
              <w:spacing w:after="20"/>
            </w:pPr>
            <w:r/>
            <w:r>
              <w:rPr>
                <w:b/>
                <w:sz w:val="17"/>
              </w:rPr>
              <w:t>no</w:t>
            </w:r>
          </w:p>
        </w:tc>
        <w:tc>
          <w:tcPr>
            <w:tcW w:type="dxa" w:w="2484"/>
          </w:tcPr>
          <w:p>
            <w:pPr>
              <w:spacing w:after="20"/>
            </w:pPr>
            <w:r/>
            <w:r>
              <w:rPr>
                <w:b w:val="0"/>
                <w:sz w:val="17"/>
              </w:rPr>
              <w:t>Period Analysis</w:t>
            </w:r>
          </w:p>
        </w:tc>
      </w:tr>
    </w:tbl>
    <w:p>
      <w:pPr>
        <w:spacing w:after="80"/>
      </w:pPr>
    </w:p>
    <w:p>
      <w:pPr>
        <w:spacing w:after="120"/>
      </w:pPr>
      <w:r>
        <w:rPr>
          <w:b w:val="0"/>
          <w:i w:val="0"/>
          <w:sz w:val="20"/>
        </w:rPr>
        <w:t xml:space="preserve">The problem is not the count, it is the overlap with the navigation. The app presents a dedicated </w:t>
      </w:r>
      <w:r>
        <w:rPr>
          <w:b/>
          <w:i w:val="0"/>
          <w:sz w:val="20"/>
        </w:rPr>
        <w:t>Accounts Payable</w:t>
      </w:r>
      <w:r>
        <w:rPr>
          <w:b w:val="0"/>
          <w:i w:val="0"/>
          <w:sz w:val="20"/>
        </w:rPr>
        <w:t xml:space="preserve"> page, a </w:t>
      </w:r>
      <w:r>
        <w:rPr>
          <w:b/>
          <w:i w:val="0"/>
          <w:sz w:val="20"/>
        </w:rPr>
        <w:t>General Ledger</w:t>
      </w:r>
      <w:r>
        <w:rPr>
          <w:b w:val="0"/>
          <w:i w:val="0"/>
          <w:sz w:val="20"/>
        </w:rPr>
        <w:t xml:space="preserve"> page and a </w:t>
      </w:r>
      <w:r>
        <w:rPr>
          <w:b/>
          <w:i w:val="0"/>
          <w:sz w:val="20"/>
        </w:rPr>
        <w:t>Period Analysis</w:t>
      </w:r>
      <w:r>
        <w:rPr>
          <w:b w:val="0"/>
          <w:i w:val="0"/>
          <w:sz w:val="20"/>
        </w:rPr>
        <w:t xml:space="preserve"> page. A user reads those nine sidebar entries as a statement of scope, then asks Cortex Analyst about payables — and the model has no table to land on.</w:t>
      </w:r>
    </w:p>
    <w:p>
      <w:pPr>
        <w:spacing w:after="120"/>
      </w:pPr>
      <w:r>
        <w:rPr>
          <w:b w:val="0"/>
          <w:i w:val="0"/>
          <w:sz w:val="20"/>
        </w:rPr>
        <w:t>Nothing in the interface signals the boundary. There is no "this model covers four of seven subject areas" notice, so the failure looks like the AI being poor rather than the model being partial.</w:t>
      </w:r>
    </w:p>
    <w:p>
      <w:pPr>
        <w:spacing w:after="120"/>
      </w:pPr>
      <w:r>
        <w:rPr>
          <w:b w:val="0"/>
          <w:i w:val="0"/>
          <w:sz w:val="20"/>
        </w:rPr>
        <w:t>Two ways to close it, in order of preference:</w:t>
      </w:r>
    </w:p>
    <w:p>
      <w:pPr>
        <w:pStyle w:val="ListNumber"/>
        <w:spacing w:after="40"/>
      </w:pPr>
      <w:r>
        <w:rPr>
          <w:b/>
          <w:sz w:val="20"/>
        </w:rPr>
        <w:t>Extend the model.</w:t>
      </w:r>
      <w:r>
        <w:rPr>
          <w:b w:val="0"/>
          <w:sz w:val="20"/>
        </w:rPr>
        <w:t xml:space="preserve"> </w:t>
      </w:r>
      <w:r>
        <w:rPr>
          <w:rFonts w:ascii="Consolas" w:hAnsi="Consolas"/>
          <w:b w:val="0"/>
          <w:color w:val="1B5E8C"/>
          <w:sz w:val="19"/>
        </w:rPr>
        <w:t>DT_PNL_SUMMARY</w:t>
      </w:r>
      <w:r>
        <w:rPr>
          <w:b w:val="0"/>
          <w:sz w:val="20"/>
        </w:rPr>
        <w:t xml:space="preserve"> is the obvious first addition — 81 rows, pre-aggregated, already correctly signed, and it is the object this handbook's control total comes from. </w:t>
      </w:r>
      <w:r>
        <w:rPr>
          <w:rFonts w:ascii="Consolas" w:hAnsi="Consolas"/>
          <w:b w:val="0"/>
          <w:color w:val="1B5E8C"/>
          <w:sz w:val="19"/>
        </w:rPr>
        <w:t>DT_AP_AGING</w:t>
      </w:r>
      <w:r>
        <w:rPr>
          <w:b w:val="0"/>
          <w:sz w:val="20"/>
        </w:rPr>
        <w:t xml:space="preserve"> is second, because a page exists for it. </w:t>
      </w:r>
      <w:r>
        <w:rPr>
          <w:rFonts w:ascii="Consolas" w:hAnsi="Consolas"/>
          <w:b w:val="0"/>
          <w:color w:val="1B5E8C"/>
          <w:sz w:val="19"/>
        </w:rPr>
        <w:t>DT_GL_BALANCE</w:t>
      </w:r>
      <w:r>
        <w:rPr>
          <w:b w:val="0"/>
          <w:sz w:val="20"/>
        </w:rPr>
        <w:t xml:space="preserve"> is third and least urgent, since no page reads it either.</w:t>
      </w:r>
    </w:p>
    <w:p>
      <w:pPr>
        <w:pStyle w:val="ListNumber"/>
        <w:spacing w:after="40"/>
      </w:pPr>
      <w:r>
        <w:rPr>
          <w:b/>
          <w:sz w:val="20"/>
        </w:rPr>
        <w:t>Disclose the boundary in the UI.</w:t>
      </w:r>
      <w:r>
        <w:rPr>
          <w:b w:val="0"/>
          <w:sz w:val="20"/>
        </w:rPr>
        <w:t xml:space="preserve"> Cheaper, and honest. Name the four covered areas on the page.</w:t>
      </w:r>
    </w:p>
    <w:p>
      <w:pPr>
        <w:spacing w:after="120"/>
      </w:pPr>
      <w:r>
        <w:rPr>
          <w:b w:val="0"/>
          <w:i w:val="0"/>
          <w:sz w:val="20"/>
        </w:rPr>
        <w:t>Doing neither is the current state.</w:t>
      </w:r>
    </w:p>
    <w:p>
      <w:pPr>
        <w:spacing w:before="80" w:after="160"/>
        <w:jc w:val="center"/>
      </w:pPr>
      <w:r>
        <w:rPr>
          <w:color w:val="C8D4DE"/>
          <w:sz w:val="12"/>
        </w:rPr>
        <w:t>──────────────────────────────────────────────────────────</w:t>
      </w:r>
    </w:p>
    <w:p>
      <w:pPr>
        <w:keepNext/>
        <w:spacing w:before="240" w:after="60"/>
        <w:outlineLvl w:val="1"/>
      </w:pPr>
      <w:r>
        <w:rPr>
          <w:b/>
          <w:color w:val="1B3A57"/>
          <w:sz w:val="23"/>
        </w:rPr>
        <w:t>The verified query gap</w:t>
      </w:r>
    </w:p>
    <w:p>
      <w:pPr>
        <w:spacing w:after="120"/>
      </w:pPr>
      <w:r>
        <w:rPr>
          <w:b/>
          <w:i w:val="0"/>
          <w:sz w:val="20"/>
        </w:rPr>
        <w:t>Zero verified queries.</w:t>
      </w:r>
      <w:r>
        <w:rPr>
          <w:b w:val="0"/>
          <w:i w:val="0"/>
          <w:sz w:val="20"/>
        </w:rPr>
        <w:t xml:space="preserve"> This is the most significant gap in the stack and it should be said plainly rather than buried in a capability list.</w:t>
      </w:r>
    </w:p>
    <w:p>
      <w:pPr>
        <w:spacing w:after="120"/>
      </w:pPr>
      <w:r>
        <w:rPr>
          <w:b w:val="0"/>
          <w:i w:val="0"/>
          <w:sz w:val="20"/>
        </w:rPr>
        <w:t>A verified query pairs a natural-language question with the SQL that correctly answers it. Cortex Analyst uses them as worked examples: they teach the model the question shapes the data is meant to serve, and the idioms the data requires.</w:t>
      </w:r>
    </w:p>
    <w:p>
      <w:pPr>
        <w:spacing w:after="120"/>
      </w:pPr>
      <w:r>
        <w:rPr>
          <w:b w:val="0"/>
          <w:i w:val="0"/>
          <w:sz w:val="20"/>
        </w:rPr>
        <w:t>With none, every question is answered from table and column metadata alone. For most datasets that is merely suboptimal. For this one it is worse than that, because the single hardest thing about this data is not discoverable from metadata:</w:t>
      </w:r>
    </w:p>
    <w:p>
      <w:pPr>
        <w:spacing w:after="120"/>
        <w:ind w:left="360"/>
      </w:pPr>
      <w:r>
        <w:rPr>
          <w:b w:val="0"/>
          <w:i/>
          <w:color w:val="5A6A7A"/>
          <w:sz w:val="19"/>
        </w:rPr>
        <w:t xml:space="preserve">SAP amounts are signed. Correct aggregation requires </w:t>
      </w:r>
      <w:r>
        <w:rPr>
          <w:rFonts w:ascii="Consolas" w:hAnsi="Consolas"/>
          <w:b w:val="0"/>
          <w:i/>
          <w:color w:val="1B5E8C"/>
          <w:sz w:val="18"/>
        </w:rPr>
        <w:t>ABS</w:t>
      </w:r>
      <w:r>
        <w:rPr>
          <w:b w:val="0"/>
          <w:i/>
          <w:color w:val="5A6A7A"/>
          <w:sz w:val="19"/>
        </w:rPr>
        <w:t xml:space="preserve"> on the amount together with a </w:t>
      </w:r>
      <w:r>
        <w:rPr>
          <w:rFonts w:ascii="Consolas" w:hAnsi="Consolas"/>
          <w:b w:val="0"/>
          <w:i/>
          <w:color w:val="1B5E8C"/>
          <w:sz w:val="18"/>
        </w:rPr>
        <w:t>DEBITCREDITCODE</w:t>
      </w:r>
      <w:r>
        <w:rPr>
          <w:b w:val="0"/>
          <w:i/>
          <w:color w:val="5A6A7A"/>
          <w:sz w:val="19"/>
        </w:rPr>
        <w:t xml:space="preserve"> filter.</w:t>
      </w:r>
    </w:p>
    <w:p>
      <w:pPr>
        <w:spacing w:after="120"/>
      </w:pPr>
      <w:r>
        <w:rPr>
          <w:b w:val="0"/>
          <w:i w:val="0"/>
          <w:sz w:val="20"/>
        </w:rPr>
        <w:t xml:space="preserve">No column name states that. No description the model has seen demonstrates it. The model is therefore free to emit a bare </w:t>
      </w:r>
      <w:r>
        <w:rPr>
          <w:rFonts w:ascii="Consolas" w:hAnsi="Consolas"/>
          <w:b w:val="0"/>
          <w:i w:val="0"/>
          <w:color w:val="1B5E8C"/>
          <w:sz w:val="19"/>
        </w:rPr>
        <w:t>SUM</w:t>
      </w:r>
      <w:r>
        <w:rPr>
          <w:b w:val="0"/>
          <w:i w:val="0"/>
          <w:sz w:val="20"/>
        </w:rPr>
        <w:t xml:space="preserve"> — which succeeds, returns a plausible magnitude, and is wrong. And because every document in this dataset has exactly two offsetting line items (see findings (05-findings.md#documents-and-line-items-differ-by-exactly-2)), a bare </w:t>
      </w:r>
      <w:r>
        <w:rPr>
          <w:rFonts w:ascii="Consolas" w:hAnsi="Consolas"/>
          <w:b w:val="0"/>
          <w:i w:val="0"/>
          <w:color w:val="1B5E8C"/>
          <w:sz w:val="19"/>
        </w:rPr>
        <w:t>SUM</w:t>
      </w:r>
      <w:r>
        <w:rPr>
          <w:b w:val="0"/>
          <w:i w:val="0"/>
          <w:sz w:val="20"/>
        </w:rPr>
        <w:t xml:space="preserve"> over the journal table approximates the residual of 5,150 near-cancellations rather than measuring money.</w:t>
      </w:r>
    </w:p>
    <w:p>
      <w:pPr>
        <w:spacing w:after="120"/>
      </w:pPr>
      <w:r>
        <w:rPr>
          <w:b w:val="0"/>
          <w:i w:val="0"/>
          <w:sz w:val="20"/>
        </w:rPr>
        <w:t>The failure mode is a confidently wrong number, not a refusal. In front of a customer architect that is the worst available outcome.</w:t>
      </w:r>
    </w:p>
    <w:p>
      <w:pPr>
        <w:keepNext/>
        <w:spacing w:before="160" w:after="40"/>
        <w:outlineLvl w:val="2"/>
      </w:pPr>
      <w:r>
        <w:rPr>
          <w:b/>
          <w:color w:val="29B5E8"/>
          <w:sz w:val="20"/>
        </w:rPr>
        <w:t>The queries to add first</w:t>
      </w:r>
    </w:p>
    <w:p>
      <w:pPr>
        <w:spacing w:after="120"/>
      </w:pPr>
      <w:r>
        <w:rPr>
          <w:b w:val="0"/>
          <w:i w:val="0"/>
          <w:sz w:val="20"/>
        </w:rPr>
        <w:t>In priority order, each targeting a known idiom or a known trap:</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Question shape</w:t>
            </w:r>
          </w:p>
        </w:tc>
        <w:tc>
          <w:tcPr>
            <w:tcW w:type="dxa" w:w="3528"/>
            <w:shd w:val="clear" w:fill="1B3A57"/>
          </w:tcPr>
          <w:p>
            <w:pPr>
              <w:spacing w:after="20"/>
            </w:pPr>
            <w:r/>
            <w:r>
              <w:rPr>
                <w:b/>
                <w:color w:val="FFFFFF"/>
                <w:sz w:val="17"/>
              </w:rPr>
              <w:t>What it teaches</w:t>
            </w:r>
          </w:p>
        </w:tc>
      </w:tr>
      <w:tr>
        <w:trPr>
          <w:cantSplit/>
        </w:trPr>
        <w:tc>
          <w:tcPr>
            <w:tcW w:type="dxa" w:w="2880"/>
          </w:tcPr>
          <w:p>
            <w:pPr>
              <w:spacing w:after="20"/>
            </w:pPr>
            <w:r/>
            <w:r>
              <w:rPr>
                <w:b w:val="0"/>
                <w:sz w:val="17"/>
              </w:rPr>
              <w:t>1</w:t>
            </w:r>
          </w:p>
        </w:tc>
        <w:tc>
          <w:tcPr>
            <w:tcW w:type="dxa" w:w="3528"/>
          </w:tcPr>
          <w:p>
            <w:pPr>
              <w:spacing w:after="20"/>
            </w:pPr>
            <w:r/>
            <w:r>
              <w:rPr>
                <w:b w:val="0"/>
                <w:sz w:val="17"/>
              </w:rPr>
              <w:t>Total revenue for a fiscal year</w:t>
            </w:r>
          </w:p>
        </w:tc>
        <w:tc>
          <w:tcPr>
            <w:tcW w:type="dxa" w:w="3528"/>
          </w:tcPr>
          <w:p>
            <w:pPr>
              <w:spacing w:after="20"/>
            </w:pPr>
            <w:r/>
            <w:r>
              <w:rPr>
                <w:rFonts w:ascii="Consolas" w:hAnsi="Consolas"/>
                <w:b w:val="0"/>
                <w:color w:val="1B5E8C"/>
                <w:sz w:val="16"/>
              </w:rPr>
              <w:t>ABS</w:t>
            </w:r>
            <w:r>
              <w:rPr>
                <w:b w:val="0"/>
                <w:sz w:val="17"/>
              </w:rPr>
              <w:t xml:space="preserve"> + </w:t>
            </w:r>
            <w:r>
              <w:rPr>
                <w:rFonts w:ascii="Consolas" w:hAnsi="Consolas"/>
                <w:b w:val="0"/>
                <w:color w:val="1B5E8C"/>
                <w:sz w:val="16"/>
              </w:rPr>
              <w:t>DEBITCREDITCODE</w:t>
            </w:r>
            <w:r>
              <w:rPr>
                <w:b w:val="0"/>
                <w:sz w:val="17"/>
              </w:rPr>
              <w:t>; ties to $2,250,872,386 across all years</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Revenue, expense and net income by fiscal year</w:t>
            </w:r>
          </w:p>
        </w:tc>
        <w:tc>
          <w:tcPr>
            <w:tcW w:type="dxa" w:w="3528"/>
            <w:shd w:val="clear" w:fill="EEF4F8"/>
          </w:tcPr>
          <w:p>
            <w:pPr>
              <w:spacing w:after="20"/>
            </w:pPr>
            <w:r/>
            <w:r>
              <w:rPr>
                <w:b w:val="0"/>
                <w:sz w:val="17"/>
              </w:rPr>
              <w:t>the signed pattern on both sides at once</w:t>
            </w:r>
          </w:p>
        </w:tc>
      </w:tr>
      <w:tr>
        <w:trPr>
          <w:cantSplit/>
        </w:trPr>
        <w:tc>
          <w:tcPr>
            <w:tcW w:type="dxa" w:w="2880"/>
          </w:tcPr>
          <w:p>
            <w:pPr>
              <w:spacing w:after="20"/>
            </w:pPr>
            <w:r/>
            <w:r>
              <w:rPr>
                <w:b w:val="0"/>
                <w:sz w:val="17"/>
              </w:rPr>
              <w:t>3</w:t>
            </w:r>
          </w:p>
        </w:tc>
        <w:tc>
          <w:tcPr>
            <w:tcW w:type="dxa" w:w="3528"/>
          </w:tcPr>
          <w:p>
            <w:pPr>
              <w:spacing w:after="20"/>
            </w:pPr>
            <w:r/>
            <w:r>
              <w:rPr>
                <w:b w:val="0"/>
                <w:sz w:val="17"/>
              </w:rPr>
              <w:t>Expense by cost centre for a period</w:t>
            </w:r>
          </w:p>
        </w:tc>
        <w:tc>
          <w:tcPr>
            <w:tcW w:type="dxa" w:w="3528"/>
          </w:tcPr>
          <w:p>
            <w:pPr>
              <w:spacing w:after="20"/>
            </w:pPr>
            <w:r/>
            <w:r>
              <w:rPr>
                <w:b w:val="0"/>
                <w:sz w:val="17"/>
              </w:rPr>
              <w:t>grain, and joining to the cost centre master</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Revenue by profit centre for a period</w:t>
            </w:r>
          </w:p>
        </w:tc>
        <w:tc>
          <w:tcPr>
            <w:tcW w:type="dxa" w:w="3528"/>
            <w:shd w:val="clear" w:fill="EEF4F8"/>
          </w:tcPr>
          <w:p>
            <w:pPr>
              <w:spacing w:after="20"/>
            </w:pPr>
            <w:r/>
            <w:r>
              <w:rPr>
                <w:b w:val="0"/>
                <w:sz w:val="17"/>
              </w:rPr>
              <w:t>the profit-centre counterpart</w:t>
            </w:r>
          </w:p>
        </w:tc>
      </w:tr>
      <w:tr>
        <w:trPr>
          <w:cantSplit/>
        </w:trPr>
        <w:tc>
          <w:tcPr>
            <w:tcW w:type="dxa" w:w="2880"/>
          </w:tcPr>
          <w:p>
            <w:pPr>
              <w:spacing w:after="20"/>
            </w:pPr>
            <w:r/>
            <w:r>
              <w:rPr>
                <w:b w:val="0"/>
                <w:sz w:val="17"/>
              </w:rPr>
              <w:t>5</w:t>
            </w:r>
          </w:p>
        </w:tc>
        <w:tc>
          <w:tcPr>
            <w:tcW w:type="dxa" w:w="3528"/>
          </w:tcPr>
          <w:p>
            <w:pPr>
              <w:spacing w:after="20"/>
            </w:pPr>
            <w:r/>
            <w:r>
              <w:rPr>
                <w:b w:val="0"/>
                <w:sz w:val="17"/>
              </w:rPr>
              <w:t>Open AR by aging bucket</w:t>
            </w:r>
          </w:p>
        </w:tc>
        <w:tc>
          <w:tcPr>
            <w:tcW w:type="dxa" w:w="3528"/>
          </w:tcPr>
          <w:p>
            <w:pPr>
              <w:spacing w:after="20"/>
            </w:pPr>
            <w:r/>
            <w:r>
              <w:rPr>
                <w:b w:val="0"/>
                <w:sz w:val="17"/>
              </w:rPr>
              <w:t xml:space="preserve">that </w:t>
            </w:r>
            <w:r>
              <w:rPr>
                <w:rFonts w:ascii="Consolas" w:hAnsi="Consolas"/>
                <w:b w:val="0"/>
                <w:color w:val="1B5E8C"/>
                <w:sz w:val="16"/>
              </w:rPr>
              <w:t>Cleared</w:t>
            </w:r>
            <w:r>
              <w:rPr>
                <w:b w:val="0"/>
                <w:sz w:val="17"/>
              </w:rPr>
              <w:t xml:space="preserve"> (2,983 of 3,868 rows) must be excluded</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Count of overdue AR invoices</w:t>
            </w:r>
          </w:p>
        </w:tc>
        <w:tc>
          <w:tcPr>
            <w:tcW w:type="dxa" w:w="3528"/>
            <w:shd w:val="clear" w:fill="EEF4F8"/>
          </w:tcPr>
          <w:p>
            <w:pPr>
              <w:spacing w:after="20"/>
            </w:pPr>
            <w:r/>
            <w:r>
              <w:rPr>
                <w:b w:val="0"/>
                <w:sz w:val="17"/>
              </w:rPr>
              <w:t>the overdue flag, not a date arithmetic guess; answer 483</w:t>
            </w:r>
          </w:p>
        </w:tc>
      </w:tr>
      <w:tr>
        <w:trPr>
          <w:cantSplit/>
        </w:trPr>
        <w:tc>
          <w:tcPr>
            <w:tcW w:type="dxa" w:w="2880"/>
          </w:tcPr>
          <w:p>
            <w:pPr>
              <w:spacing w:after="20"/>
            </w:pPr>
            <w:r/>
            <w:r>
              <w:rPr>
                <w:b w:val="0"/>
                <w:sz w:val="17"/>
              </w:rPr>
              <w:t>7</w:t>
            </w:r>
          </w:p>
        </w:tc>
        <w:tc>
          <w:tcPr>
            <w:tcW w:type="dxa" w:w="3528"/>
          </w:tcPr>
          <w:p>
            <w:pPr>
              <w:spacing w:after="20"/>
            </w:pPr>
            <w:r/>
            <w:r>
              <w:rPr>
                <w:b w:val="0"/>
                <w:sz w:val="17"/>
              </w:rPr>
              <w:t>Document count vs line-item count</w:t>
            </w:r>
          </w:p>
        </w:tc>
        <w:tc>
          <w:tcPr>
            <w:tcW w:type="dxa" w:w="3528"/>
          </w:tcPr>
          <w:p>
            <w:pPr>
              <w:spacing w:after="20"/>
            </w:pPr>
            <w:r/>
            <w:r>
              <w:rPr>
                <w:b w:val="0"/>
                <w:sz w:val="17"/>
              </w:rPr>
              <w:t>that the two differ by exactly 2× and are not interchangeable</w:t>
            </w:r>
          </w:p>
        </w:tc>
      </w:tr>
      <w:tr>
        <w:trPr>
          <w:cantSplit/>
        </w:trPr>
        <w:tc>
          <w:tcPr>
            <w:tcW w:type="dxa" w:w="2880"/>
            <w:shd w:val="clear" w:fill="EEF4F8"/>
          </w:tcPr>
          <w:p>
            <w:pPr>
              <w:spacing w:after="20"/>
            </w:pPr>
            <w:r/>
            <w:r>
              <w:rPr>
                <w:b w:val="0"/>
                <w:sz w:val="17"/>
              </w:rPr>
              <w:t>8</w:t>
            </w:r>
          </w:p>
        </w:tc>
        <w:tc>
          <w:tcPr>
            <w:tcW w:type="dxa" w:w="3528"/>
            <w:shd w:val="clear" w:fill="EEF4F8"/>
          </w:tcPr>
          <w:p>
            <w:pPr>
              <w:spacing w:after="20"/>
            </w:pPr>
            <w:r/>
            <w:r>
              <w:rPr>
                <w:b w:val="0"/>
                <w:sz w:val="17"/>
              </w:rPr>
              <w:t>Anything spanning AR and the ledger by date</w:t>
            </w:r>
          </w:p>
        </w:tc>
        <w:tc>
          <w:tcPr>
            <w:tcW w:type="dxa" w:w="3528"/>
            <w:shd w:val="clear" w:fill="EEF4F8"/>
          </w:tcPr>
          <w:p>
            <w:pPr>
              <w:spacing w:after="20"/>
            </w:pPr>
            <w:r/>
            <w:r>
              <w:rPr>
                <w:b w:val="0"/>
                <w:sz w:val="17"/>
              </w:rPr>
              <w:t>that the windows do not overlap</w:t>
            </w:r>
          </w:p>
        </w:tc>
      </w:tr>
    </w:tbl>
    <w:p>
      <w:pPr>
        <w:spacing w:after="80"/>
      </w:pPr>
    </w:p>
    <w:p>
      <w:pPr>
        <w:spacing w:after="120"/>
      </w:pPr>
      <w:r>
        <w:rPr>
          <w:b w:val="0"/>
          <w:i w:val="0"/>
          <w:sz w:val="20"/>
        </w:rPr>
        <w:t>Query 1 is the one to write first, because it has an exact expected answer to assert against. Queries 5 and 7 encode traps that produce wrong answers rather than errors, which makes them worth more than their apparent simplicity.</w:t>
      </w:r>
    </w:p>
    <w:p>
      <w:pPr>
        <w:spacing w:before="80" w:after="160"/>
        <w:jc w:val="center"/>
      </w:pPr>
      <w:r>
        <w:rPr>
          <w:color w:val="C8D4DE"/>
          <w:sz w:val="12"/>
        </w:rPr>
        <w:t>──────────────────────────────────────────────────────────</w:t>
      </w:r>
    </w:p>
    <w:p>
      <w:pPr>
        <w:keepNext/>
        <w:spacing w:before="240" w:after="60"/>
        <w:outlineLvl w:val="1"/>
      </w:pPr>
      <w:r>
        <w:rPr>
          <w:b/>
          <w:color w:val="1B3A57"/>
          <w:sz w:val="23"/>
        </w:rPr>
        <w:t>Three traps a verified query should encode</w:t>
      </w:r>
    </w:p>
    <w:p>
      <w:pPr>
        <w:spacing w:after="120"/>
      </w:pPr>
      <w:r>
        <w:rPr>
          <w:b w:val="0"/>
          <w:i w:val="0"/>
          <w:sz w:val="20"/>
        </w:rPr>
        <w:t>These are the mistakes this data invites. Each produces a plausible number.</w:t>
      </w:r>
    </w:p>
    <w:p>
      <w:pPr>
        <w:spacing w:after="120"/>
      </w:pPr>
      <w:r>
        <w:rPr>
          <w:b/>
          <w:i w:val="0"/>
          <w:sz w:val="20"/>
        </w:rPr>
        <w:t>Summing signed amounts.</w:t>
      </w:r>
      <w:r>
        <w:rPr>
          <w:b w:val="0"/>
          <w:i w:val="0"/>
          <w:sz w:val="20"/>
        </w:rPr>
        <w:t xml:space="preserve"> Covered above. Produces a residual, not a total.</w:t>
      </w:r>
    </w:p>
    <w:p>
      <w:pPr>
        <w:spacing w:after="120"/>
      </w:pPr>
      <w:r>
        <w:rPr>
          <w:b/>
          <w:i w:val="0"/>
          <w:sz w:val="20"/>
        </w:rPr>
        <w:t xml:space="preserve">Counting AR without excluding </w:t>
      </w:r>
      <w:r>
        <w:rPr>
          <w:rFonts w:ascii="Consolas" w:hAnsi="Consolas"/>
          <w:b/>
          <w:i w:val="0"/>
          <w:color w:val="1B5E8C"/>
          <w:sz w:val="19"/>
        </w:rPr>
        <w:t>Cleared</w:t>
      </w:r>
      <w:r>
        <w:rPr>
          <w:b/>
          <w:i w:val="0"/>
          <w:sz w:val="20"/>
        </w:rPr>
        <w:t>.</w:t>
      </w:r>
      <w:r>
        <w:rPr>
          <w:b w:val="0"/>
          <w:i w:val="0"/>
          <w:sz w:val="20"/>
        </w:rPr>
        <w:t xml:space="preserve"> 2,983 of 3,868 AR rows are cleared and carry zero open amount. An average open amount over all rows is divided by a denominator four times too large, and the answer is quietly 77% too small.</w:t>
      </w:r>
    </w:p>
    <w:p>
      <w:pPr>
        <w:spacing w:after="120"/>
      </w:pPr>
      <w:r>
        <w:rPr>
          <w:b/>
          <w:i w:val="0"/>
          <w:sz w:val="20"/>
        </w:rPr>
        <w:t>Comparing AP gross to revenue.</w:t>
      </w:r>
      <w:r>
        <w:rPr>
          <w:b w:val="0"/>
          <w:i w:val="0"/>
          <w:sz w:val="20"/>
        </w:rPr>
        <w:t xml:space="preserve"> AP gross totals $4,340,327,683 across 419 invoices; three years of revenue is $2,250,872,386. The ratio is an artefact of the two coming from different populations at different grains — </w:t>
      </w:r>
      <w:r>
        <w:rPr>
          <w:rFonts w:ascii="Consolas" w:hAnsi="Consolas"/>
          <w:b w:val="0"/>
          <w:i w:val="0"/>
          <w:color w:val="1B5E8C"/>
          <w:sz w:val="19"/>
        </w:rPr>
        <w:t>SUPPLIERINVOICE</w:t>
      </w:r>
      <w:r>
        <w:rPr>
          <w:b w:val="0"/>
          <w:i w:val="0"/>
          <w:sz w:val="20"/>
        </w:rPr>
        <w:t xml:space="preserve"> document amounts versus posted line items — not a finding about liquidity. A model with no verified query on this topic will happily divide one by the other.</w:t>
      </w:r>
    </w:p>
    <w:p>
      <w:pPr>
        <w:spacing w:before="80" w:after="160"/>
        <w:jc w:val="center"/>
      </w:pPr>
      <w:r>
        <w:rPr>
          <w:color w:val="C8D4DE"/>
          <w:sz w:val="12"/>
        </w:rPr>
        <w:t>──────────────────────────────────────────────────────────</w:t>
      </w:r>
    </w:p>
    <w:p>
      <w:pPr>
        <w:keepNext/>
        <w:spacing w:before="240" w:after="60"/>
        <w:outlineLvl w:val="1"/>
      </w:pPr>
      <w:r>
        <w:rPr>
          <w:b/>
          <w:color w:val="1B3A57"/>
          <w:sz w:val="23"/>
        </w:rPr>
        <w:t>The agent</w:t>
      </w:r>
    </w:p>
    <w:p>
      <w:pPr>
        <w:spacing w:after="120"/>
      </w:pPr>
      <w:r>
        <w:rPr>
          <w:rFonts w:ascii="Consolas" w:hAnsi="Consolas"/>
          <w:b w:val="0"/>
          <w:i w:val="0"/>
          <w:color w:val="1B5E8C"/>
          <w:sz w:val="19"/>
        </w:rPr>
        <w:t>SAP_FINANCE_360_AGENT</w:t>
      </w:r>
      <w:r>
        <w:rPr>
          <w:b w:val="0"/>
          <w:i w:val="0"/>
          <w:sz w:val="20"/>
        </w:rPr>
        <w:t xml:space="preserve">, created by </w:t>
      </w:r>
      <w:r>
        <w:rPr>
          <w:rFonts w:ascii="Consolas" w:hAnsi="Consolas"/>
          <w:b w:val="0"/>
          <w:i w:val="0"/>
          <w:color w:val="1B5E8C"/>
          <w:sz w:val="19"/>
        </w:rPr>
        <w:t>sql/05_cortex_agent.sql</w:t>
      </w:r>
      <w:r>
        <w:rPr>
          <w:b w:val="0"/>
          <w:i w:val="0"/>
          <w:sz w:val="20"/>
        </w:rPr>
        <w:t>, is the Snowflake Intelligence surface. It is bound to a semantic view rather than to the stage model.</w:t>
      </w:r>
    </w:p>
    <w:p>
      <w:pPr>
        <w:spacing w:after="120"/>
      </w:pPr>
      <w:r>
        <w:rPr>
          <w:b w:val="0"/>
          <w:i w:val="0"/>
          <w:sz w:val="20"/>
        </w:rPr>
        <w:t>That means the agent inherits the semantic-view split described in the semantic layer (08-semantic-layer.md): depending on which view it is bound to, it has either the metrics or the relationships, but not both.</w:t>
      </w:r>
    </w:p>
    <w:p>
      <w:pPr>
        <w:spacing w:after="120"/>
      </w:pPr>
      <w:r>
        <w:rPr>
          <w:b w:val="0"/>
          <w:i w:val="0"/>
          <w:sz w:val="20"/>
        </w:rPr>
        <w:t>Practical consequence: the agent and the app can give different answers to the same question, and both can be defensible given what each was handed. When demonstrating both in one session, ask the same question of each deliberately and be ready to explain the difference — it is a modelling artefact, not a bug, and an architect in the room will notice.</w:t>
      </w:r>
    </w:p>
    <w:p>
      <w:pPr>
        <w:spacing w:before="80" w:after="160"/>
        <w:jc w:val="center"/>
      </w:pPr>
      <w:r>
        <w:rPr>
          <w:color w:val="C8D4DE"/>
          <w:sz w:val="12"/>
        </w:rPr>
        <w:t>──────────────────────────────────────────────────────────</w:t>
      </w:r>
    </w:p>
    <w:p>
      <w:pPr>
        <w:keepNext/>
        <w:spacing w:before="240" w:after="60"/>
        <w:outlineLvl w:val="1"/>
      </w:pPr>
      <w:r>
        <w:rPr>
          <w:b/>
          <w:color w:val="1B3A57"/>
          <w:sz w:val="23"/>
        </w:rPr>
        <w:t>The Cortex Analyst page in the app (removed)</w:t>
      </w:r>
    </w:p>
    <w:p>
      <w:pPr>
        <w:spacing w:after="120"/>
      </w:pPr>
      <w:r>
        <w:rPr>
          <w:b w:val="0"/>
          <w:i w:val="0"/>
          <w:sz w:val="20"/>
        </w:rPr>
        <w:t xml:space="preserve">The in-app Cortex Analyst page was removed in the nav change. The server's </w:t>
      </w:r>
      <w:r>
        <w:rPr>
          <w:rFonts w:ascii="Consolas" w:hAnsi="Consolas"/>
          <w:b w:val="0"/>
          <w:i w:val="0"/>
          <w:color w:val="1B5E8C"/>
          <w:sz w:val="19"/>
        </w:rPr>
        <w:t>/api/analyst</w:t>
      </w:r>
      <w:r>
        <w:rPr>
          <w:b w:val="0"/>
          <w:i w:val="0"/>
          <w:sz w:val="20"/>
        </w:rPr>
        <w:t xml:space="preserve"> route and the stage model still exist, and the </w:t>
      </w:r>
      <w:r>
        <w:rPr>
          <w:rFonts w:ascii="Consolas" w:hAnsi="Consolas"/>
          <w:b w:val="0"/>
          <w:i w:val="0"/>
          <w:color w:val="1B5E8C"/>
          <w:sz w:val="19"/>
        </w:rPr>
        <w:t>SAP_FINANCE_360_AGENT</w:t>
      </w:r>
      <w:r>
        <w:rPr>
          <w:b w:val="0"/>
          <w:i w:val="0"/>
          <w:sz w:val="20"/>
        </w:rPr>
        <w:t xml:space="preserve"> is still available in Snowflake Intelligence. In the app, natural-language questions now go through </w:t>
      </w:r>
      <w:r>
        <w:rPr>
          <w:b/>
          <w:i w:val="0"/>
          <w:sz w:val="20"/>
        </w:rPr>
        <w:t>Ask Cortex</w:t>
      </w:r>
      <w:r>
        <w:rPr>
          <w:b w:val="0"/>
          <w:i w:val="0"/>
          <w:sz w:val="20"/>
        </w:rPr>
        <w:t xml:space="preserve"> (page 1 of 9, screenshot </w:t>
      </w:r>
      <w:r>
        <w:rPr>
          <w:rFonts w:ascii="Consolas" w:hAnsi="Consolas"/>
          <w:b w:val="0"/>
          <w:i w:val="0"/>
          <w:color w:val="1B5E8C"/>
          <w:sz w:val="19"/>
        </w:rPr>
        <w:t>/tmp/finance_shots/00_ask-cortex.png</w:t>
      </w:r>
      <w:r>
        <w:rPr>
          <w:b w:val="0"/>
          <w:i w:val="0"/>
          <w:sz w:val="20"/>
        </w:rPr>
        <w:t>).</w:t>
      </w:r>
    </w:p>
    <w:p>
      <w:pPr>
        <w:spacing w:before="80" w:after="160"/>
        <w:jc w:val="center"/>
      </w:pPr>
      <w:r>
        <w:rPr>
          <w:color w:val="C8D4DE"/>
          <w:sz w:val="12"/>
        </w:rPr>
        <w:t>──────────────────────────────────────────────────────────</w:t>
      </w:r>
    </w:p>
    <w:p>
      <w:pPr>
        <w:keepNext/>
        <w:spacing w:before="240" w:after="60"/>
        <w:outlineLvl w:val="1"/>
      </w:pPr>
      <w:r>
        <w:rPr>
          <w:b/>
          <w:color w:val="1B3A57"/>
          <w:sz w:val="23"/>
        </w:rPr>
        <w:t>Ask Cortex (page analysis)</w:t>
      </w:r>
    </w:p>
    <w:p>
      <w:pPr>
        <w:spacing w:after="120"/>
      </w:pPr>
      <w:r>
        <w:rPr>
          <w:b/>
          <w:i w:val="0"/>
          <w:sz w:val="20"/>
        </w:rPr>
        <w:t>Ask Cortex</w:t>
      </w:r>
      <w:r>
        <w:rPr>
          <w:b w:val="0"/>
          <w:i w:val="0"/>
          <w:sz w:val="20"/>
        </w:rPr>
        <w:t xml:space="preserve"> is the first sidebar item (the app opens on Executive Dashboard, item 2), and each data page has an "Ask Cortex about &lt;page&gt;" button with two suggested questions. The server (</w:t>
      </w:r>
      <w:r>
        <w:rPr>
          <w:rFonts w:ascii="Consolas" w:hAnsi="Consolas"/>
          <w:b w:val="0"/>
          <w:i w:val="0"/>
          <w:color w:val="1B5E8C"/>
          <w:sz w:val="19"/>
        </w:rPr>
        <w:t>routes/askCortex.ts</w:t>
      </w:r>
      <w:r>
        <w:rPr>
          <w:b w:val="0"/>
          <w:i w:val="0"/>
          <w:sz w:val="20"/>
        </w:rPr>
        <w:t xml:space="preserve">) runs a fixed set of SQL "facts" for that page over the same tables the page uses (all company codes and years, sidebar filters not applied), then calls </w:t>
      </w:r>
      <w:r>
        <w:rPr>
          <w:rFonts w:ascii="Consolas" w:hAnsi="Consolas"/>
          <w:b w:val="0"/>
          <w:i w:val="0"/>
          <w:color w:val="1B5E8C"/>
          <w:sz w:val="19"/>
        </w:rPr>
        <w:t>AI_COMPLETE</w:t>
      </w:r>
      <w:r>
        <w:rPr>
          <w:b w:val="0"/>
          <w:i w:val="0"/>
          <w:sz w:val="20"/>
        </w:rPr>
        <w:t xml:space="preserve"> (default </w:t>
      </w:r>
      <w:r>
        <w:rPr>
          <w:rFonts w:ascii="Consolas" w:hAnsi="Consolas"/>
          <w:b w:val="0"/>
          <w:i w:val="0"/>
          <w:color w:val="1B5E8C"/>
          <w:sz w:val="19"/>
        </w:rPr>
        <w:t>claude-sonnet-4-5</w:t>
      </w:r>
      <w:r>
        <w:rPr>
          <w:b w:val="0"/>
          <w:i w:val="0"/>
          <w:sz w:val="20"/>
        </w:rPr>
        <w:t xml:space="preserve">, </w:t>
      </w:r>
      <w:r>
        <w:rPr>
          <w:rFonts w:ascii="Consolas" w:hAnsi="Consolas"/>
          <w:b w:val="0"/>
          <w:i w:val="0"/>
          <w:color w:val="1B5E8C"/>
          <w:sz w:val="19"/>
        </w:rPr>
        <w:t>CORTEX_MODEL</w:t>
      </w:r>
      <w:r>
        <w:rPr>
          <w:b w:val="0"/>
          <w:i w:val="0"/>
          <w:sz w:val="20"/>
        </w:rPr>
        <w:t xml:space="preserve"> overrides) with an instruction to cite only those facts. The call runs as a background job: </w:t>
      </w:r>
      <w:r>
        <w:rPr>
          <w:rFonts w:ascii="Consolas" w:hAnsi="Consolas"/>
          <w:b w:val="0"/>
          <w:i w:val="0"/>
          <w:color w:val="1B5E8C"/>
          <w:sz w:val="19"/>
        </w:rPr>
        <w:t>POST /api/ask-cortex</w:t>
      </w:r>
      <w:r>
        <w:rPr>
          <w:b w:val="0"/>
          <w:i w:val="0"/>
          <w:sz w:val="20"/>
        </w:rPr>
        <w:t xml:space="preserve"> returns an id and the client polls </w:t>
      </w:r>
      <w:r>
        <w:rPr>
          <w:rFonts w:ascii="Consolas" w:hAnsi="Consolas"/>
          <w:b w:val="0"/>
          <w:i w:val="0"/>
          <w:color w:val="1B5E8C"/>
          <w:sz w:val="19"/>
        </w:rPr>
        <w:t>GET /api/ask-cortex/:id</w:t>
      </w:r>
      <w:r>
        <w:rPr>
          <w:b w:val="0"/>
          <w:i w:val="0"/>
          <w:sz w:val="20"/>
        </w:rPr>
        <w:t xml:space="preserve"> every 2 s. Amounts are in transaction currency and are not converted. In the Native App the facts read </w:t>
      </w:r>
      <w:r>
        <w:rPr>
          <w:rFonts w:ascii="Consolas" w:hAnsi="Consolas"/>
          <w:b w:val="0"/>
          <w:i w:val="0"/>
          <w:color w:val="1B5E8C"/>
          <w:sz w:val="19"/>
        </w:rPr>
        <w:t>APP_DATA.*</w:t>
      </w:r>
      <w:r>
        <w:rPr>
          <w:b w:val="0"/>
          <w:i w:val="0"/>
          <w:sz w:val="20"/>
        </w:rPr>
        <w:t xml:space="preserve">; </w:t>
      </w:r>
      <w:r>
        <w:rPr>
          <w:rFonts w:ascii="Consolas" w:hAnsi="Consolas"/>
          <w:b w:val="0"/>
          <w:i w:val="0"/>
          <w:color w:val="1B5E8C"/>
          <w:sz w:val="19"/>
        </w:rPr>
        <w:t>CALL &lt;app&gt;.CORE.CORTEX_SELFTEST()</w:t>
      </w:r>
      <w:r>
        <w:rPr>
          <w:b w:val="0"/>
          <w:i w:val="0"/>
          <w:sz w:val="20"/>
        </w:rPr>
        <w:t xml:space="preserve"> confirms Cortex is reachable. The public build shows answers baked at export time.</w:t>
      </w:r>
    </w:p>
    <w:p>
      <w:pPr>
        <w:keepNext/>
        <w:spacing w:before="240" w:after="60"/>
        <w:outlineLvl w:val="1"/>
      </w:pPr>
      <w:r>
        <w:rPr>
          <w:b/>
          <w:color w:val="1B3A57"/>
          <w:sz w:val="23"/>
        </w:rPr>
        <w:t>Honest summary for a customer conversation</w:t>
      </w:r>
    </w:p>
    <w:p>
      <w:pPr>
        <w:spacing w:after="120"/>
      </w:pPr>
      <w:r>
        <w:rPr>
          <w:b w:val="0"/>
          <w:i w:val="0"/>
          <w:sz w:val="20"/>
        </w:rPr>
        <w:t>What to claim:</w:t>
      </w:r>
    </w:p>
    <w:p>
      <w:pPr>
        <w:pStyle w:val="ListBullet"/>
        <w:spacing w:after="40"/>
      </w:pPr>
      <w:r>
        <w:rPr>
          <w:b w:val="0"/>
          <w:sz w:val="20"/>
        </w:rPr>
        <w:t>Natural language over governed L2 objects, with no data copied out of SAP.</w:t>
      </w:r>
    </w:p>
    <w:p>
      <w:pPr>
        <w:pStyle w:val="ListBullet"/>
        <w:spacing w:after="40"/>
      </w:pPr>
      <w:r>
        <w:rPr>
          <w:b w:val="0"/>
          <w:sz w:val="20"/>
        </w:rPr>
        <w:t>Four subject areas covered: journal entries, AR aging, expense by cost centre, revenue by profit centre.</w:t>
      </w:r>
    </w:p>
    <w:p>
      <w:pPr>
        <w:pStyle w:val="ListBullet"/>
        <w:spacing w:after="40"/>
      </w:pPr>
      <w:r>
        <w:rPr>
          <w:b w:val="0"/>
          <w:sz w:val="20"/>
        </w:rPr>
        <w:t>The underlying numbers reconcile to the source exactly — $2,250,872,386 L0 to L2, to the dollar.</w:t>
      </w:r>
    </w:p>
    <w:p>
      <w:pPr>
        <w:spacing w:after="120"/>
      </w:pPr>
      <w:r>
        <w:rPr>
          <w:b w:val="0"/>
          <w:i w:val="0"/>
          <w:sz w:val="20"/>
        </w:rPr>
        <w:t>What to state rather than let be discovered:</w:t>
      </w:r>
    </w:p>
    <w:p>
      <w:pPr>
        <w:pStyle w:val="ListBullet"/>
        <w:spacing w:after="40"/>
      </w:pPr>
      <w:r>
        <w:rPr>
          <w:b w:val="0"/>
          <w:sz w:val="20"/>
        </w:rPr>
        <w:t>Zero verified queries. The model has no worked examples and has not been taught the signed-amount idiom.</w:t>
      </w:r>
    </w:p>
    <w:p>
      <w:pPr>
        <w:pStyle w:val="ListBullet"/>
        <w:spacing w:after="40"/>
      </w:pPr>
      <w:r>
        <w:rPr>
          <w:b w:val="0"/>
          <w:sz w:val="20"/>
        </w:rPr>
        <w:t>Accounts payable, GL balances and the P&amp;L summary are outside the model, while the app has pages for them.</w:t>
      </w:r>
    </w:p>
    <w:p>
      <w:pPr>
        <w:pStyle w:val="ListBullet"/>
        <w:spacing w:after="40"/>
      </w:pPr>
      <w:r>
        <w:rPr>
          <w:b w:val="0"/>
          <w:sz w:val="20"/>
        </w:rPr>
        <w:t>AR is generated data, not SAP-shared, because the products in scope publish no receivables object.</w:t>
      </w:r>
    </w:p>
    <w:p>
      <w:pPr>
        <w:pStyle w:val="ListBullet"/>
        <w:spacing w:after="40"/>
      </w:pPr>
      <w:r>
        <w:rPr>
          <w:b w:val="0"/>
          <w:sz w:val="20"/>
        </w:rPr>
        <w:t xml:space="preserve">The app's </w:t>
      </w:r>
      <w:r>
        <w:rPr>
          <w:rFonts w:ascii="Consolas" w:hAnsi="Consolas"/>
          <w:b w:val="0"/>
          <w:color w:val="1B5E8C"/>
          <w:sz w:val="19"/>
        </w:rPr>
        <w:t>/api/analyst</w:t>
      </w:r>
      <w:r>
        <w:rPr>
          <w:b w:val="0"/>
          <w:sz w:val="20"/>
        </w:rPr>
        <w:t xml:space="preserve"> route and the Intelligence agent read different artefacts and may differ.</w:t>
      </w:r>
    </w:p>
    <w:p>
      <w:pPr>
        <w:spacing w:after="120"/>
      </w:pPr>
      <w:r>
        <w:rPr>
          <w:b w:val="0"/>
          <w:i w:val="0"/>
          <w:sz w:val="20"/>
        </w:rPr>
        <w:t>Declaring the gaps first costs a minute. Being caught by a payables question that the sidebar advertises and the model cannot answer costs the meeting.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