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29B5E8"/>
          <w:sz w:val="26"/>
        </w:rPr>
        <w:t>SAP BDC Finance 360</w:t>
      </w:r>
    </w:p>
    <w:p>
      <w:pPr>
        <w:spacing w:after="40"/>
      </w:pPr>
      <w:r>
        <w:rPr>
          <w:b/>
          <w:color w:val="1B3A57"/>
          <w:sz w:val="44"/>
        </w:rPr>
        <w:t>Semantic layer</w:t>
      </w:r>
    </w:p>
    <w:p>
      <w:pPr>
        <w:spacing w:after="280"/>
      </w:pPr>
      <w:r>
        <w:rPr>
          <w:color w:val="5A6A7A"/>
          <w:sz w:val="19"/>
        </w:rPr>
        <w:t>Generated from docs/08-semantic-layer.md  ·  part 08</w:t>
      </w:r>
    </w:p>
    <w:p>
      <w:pPr>
        <w:spacing w:after="120"/>
      </w:pPr>
      <w:r>
        <w:rPr>
          <w:b w:val="0"/>
          <w:i w:val="0"/>
          <w:sz w:val="20"/>
        </w:rPr>
        <w:t>Three semantic artefacts exist over the same seven L2 objects. They are not versions of one another. This document sets out what each contains, why there are three, and which one to edit.</w:t>
      </w:r>
    </w:p>
    <w:p>
      <w:pPr>
        <w:spacing w:before="80" w:after="160"/>
        <w:jc w:val="center"/>
      </w:pPr>
      <w:r>
        <w:rPr>
          <w:color w:val="C8D4DE"/>
          <w:sz w:val="12"/>
        </w:rPr>
        <w:t>──────────────────────────────────────────────────────────</w:t>
      </w:r>
    </w:p>
    <w:p>
      <w:pPr>
        <w:keepNext/>
        <w:spacing w:before="240" w:after="60"/>
        <w:outlineLvl w:val="1"/>
      </w:pPr>
      <w:r>
        <w:rPr>
          <w:b/>
          <w:color w:val="1B3A57"/>
          <w:sz w:val="23"/>
        </w:rPr>
        <w:t>Three artefacts, one data layer</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Artefact</w:t>
            </w:r>
          </w:p>
        </w:tc>
        <w:tc>
          <w:tcPr>
            <w:tcW w:type="dxa" w:w="3528"/>
            <w:shd w:val="clear" w:fill="1B3A57"/>
          </w:tcPr>
          <w:p>
            <w:pPr>
              <w:spacing w:after="20"/>
            </w:pPr>
            <w:r/>
            <w:r>
              <w:rPr>
                <w:b/>
                <w:color w:val="FFFFFF"/>
                <w:sz w:val="17"/>
              </w:rPr>
              <w:t>Type</w:t>
            </w:r>
          </w:p>
        </w:tc>
        <w:tc>
          <w:tcPr>
            <w:tcW w:type="dxa" w:w="3528"/>
            <w:shd w:val="clear" w:fill="1B3A57"/>
          </w:tcPr>
          <w:p>
            <w:pPr>
              <w:spacing w:after="20"/>
            </w:pPr>
            <w:r/>
            <w:r>
              <w:rPr>
                <w:b/>
                <w:color w:val="FFFFFF"/>
                <w:sz w:val="17"/>
              </w:rPr>
              <w:t>Location</w:t>
            </w:r>
          </w:p>
        </w:tc>
      </w:tr>
      <w:tr>
        <w:trPr>
          <w:cantSplit/>
        </w:trPr>
        <w:tc>
          <w:tcPr>
            <w:tcW w:type="dxa" w:w="2880"/>
          </w:tcPr>
          <w:p>
            <w:pPr>
              <w:spacing w:after="20"/>
            </w:pPr>
            <w:r/>
            <w:r>
              <w:rPr>
                <w:rFonts w:ascii="Consolas" w:hAnsi="Consolas"/>
                <w:b w:val="0"/>
                <w:color w:val="1B5E8C"/>
                <w:sz w:val="16"/>
              </w:rPr>
              <w:t>SAP_FINANCE_360</w:t>
            </w:r>
          </w:p>
        </w:tc>
        <w:tc>
          <w:tcPr>
            <w:tcW w:type="dxa" w:w="3528"/>
          </w:tcPr>
          <w:p>
            <w:pPr>
              <w:spacing w:after="20"/>
            </w:pPr>
            <w:r/>
            <w:r>
              <w:rPr>
                <w:b w:val="0"/>
                <w:sz w:val="17"/>
              </w:rPr>
              <w:t>semantic view</w:t>
            </w:r>
          </w:p>
        </w:tc>
        <w:tc>
          <w:tcPr>
            <w:tcW w:type="dxa" w:w="3528"/>
          </w:tcPr>
          <w:p>
            <w:pPr>
              <w:spacing w:after="20"/>
            </w:pPr>
            <w:r/>
            <w:r>
              <w:rPr>
                <w:rFonts w:ascii="Consolas" w:hAnsi="Consolas"/>
                <w:b w:val="0"/>
                <w:color w:val="1B5E8C"/>
                <w:sz w:val="16"/>
              </w:rPr>
              <w:t>SAP_FINANCE_360.ANALYTICS</w:t>
            </w:r>
          </w:p>
        </w:tc>
      </w:tr>
      <w:tr>
        <w:trPr>
          <w:cantSplit/>
        </w:trPr>
        <w:tc>
          <w:tcPr>
            <w:tcW w:type="dxa" w:w="2880"/>
            <w:shd w:val="clear" w:fill="EEF4F8"/>
          </w:tcPr>
          <w:p>
            <w:pPr>
              <w:spacing w:after="20"/>
            </w:pPr>
            <w:r/>
            <w:r>
              <w:rPr>
                <w:rFonts w:ascii="Consolas" w:hAnsi="Consolas"/>
                <w:b w:val="0"/>
                <w:color w:val="1B5E8C"/>
                <w:sz w:val="16"/>
              </w:rPr>
              <w:t>SAP_FINANCE_360_ANALYTICS</w:t>
            </w:r>
          </w:p>
        </w:tc>
        <w:tc>
          <w:tcPr>
            <w:tcW w:type="dxa" w:w="3528"/>
            <w:shd w:val="clear" w:fill="EEF4F8"/>
          </w:tcPr>
          <w:p>
            <w:pPr>
              <w:spacing w:after="20"/>
            </w:pPr>
            <w:r/>
            <w:r>
              <w:rPr>
                <w:b w:val="0"/>
                <w:sz w:val="17"/>
              </w:rPr>
              <w:t>semantic view</w:t>
            </w:r>
          </w:p>
        </w:tc>
        <w:tc>
          <w:tcPr>
            <w:tcW w:type="dxa" w:w="3528"/>
            <w:shd w:val="clear" w:fill="EEF4F8"/>
          </w:tcPr>
          <w:p>
            <w:pPr>
              <w:spacing w:after="20"/>
            </w:pPr>
            <w:r/>
            <w:r>
              <w:rPr>
                <w:rFonts w:ascii="Consolas" w:hAnsi="Consolas"/>
                <w:b w:val="0"/>
                <w:color w:val="1B5E8C"/>
                <w:sz w:val="16"/>
              </w:rPr>
              <w:t>SAP_FINANCE_360.SEMANTIC</w:t>
            </w:r>
          </w:p>
        </w:tc>
      </w:tr>
      <w:tr>
        <w:trPr>
          <w:cantSplit/>
        </w:trPr>
        <w:tc>
          <w:tcPr>
            <w:tcW w:type="dxa" w:w="2880"/>
          </w:tcPr>
          <w:p>
            <w:pPr>
              <w:spacing w:after="20"/>
            </w:pPr>
            <w:r/>
            <w:r>
              <w:rPr>
                <w:rFonts w:ascii="Consolas" w:hAnsi="Consolas"/>
                <w:b w:val="0"/>
                <w:color w:val="1B5E8C"/>
                <w:sz w:val="16"/>
              </w:rPr>
              <w:t>finance_360.semantic.yaml</w:t>
            </w:r>
          </w:p>
        </w:tc>
        <w:tc>
          <w:tcPr>
            <w:tcW w:type="dxa" w:w="3528"/>
          </w:tcPr>
          <w:p>
            <w:pPr>
              <w:spacing w:after="20"/>
            </w:pPr>
            <w:r/>
            <w:r>
              <w:rPr>
                <w:b w:val="0"/>
                <w:sz w:val="17"/>
              </w:rPr>
              <w:t>Cortex Analyst model</w:t>
            </w:r>
          </w:p>
        </w:tc>
        <w:tc>
          <w:tcPr>
            <w:tcW w:type="dxa" w:w="3528"/>
          </w:tcPr>
          <w:p>
            <w:pPr>
              <w:spacing w:after="20"/>
            </w:pPr>
            <w:r/>
            <w:r>
              <w:rPr>
                <w:rFonts w:ascii="Consolas" w:hAnsi="Consolas"/>
                <w:b w:val="0"/>
                <w:color w:val="1B5E8C"/>
                <w:sz w:val="16"/>
              </w:rPr>
              <w:t>@SAP_FINANCE_360.SEMANTIC.SEMANTIC_MODELS/</w:t>
            </w:r>
          </w:p>
        </w:tc>
      </w:tr>
    </w:tbl>
    <w:p>
      <w:pPr>
        <w:spacing w:after="80"/>
      </w:pPr>
    </w:p>
    <w:p>
      <w:pPr>
        <w:spacing w:after="120"/>
      </w:pPr>
      <w:r>
        <w:rPr>
          <w:b w:val="0"/>
          <w:i w:val="0"/>
          <w:sz w:val="20"/>
        </w:rPr>
        <w:t xml:space="preserve">Two are database objects and queryable with </w:t>
      </w:r>
      <w:r>
        <w:rPr>
          <w:rFonts w:ascii="Consolas" w:hAnsi="Consolas"/>
          <w:b w:val="0"/>
          <w:i w:val="0"/>
          <w:color w:val="1B5E8C"/>
          <w:sz w:val="19"/>
        </w:rPr>
        <w:t>SEMANTIC_VIEW(...)</w:t>
      </w:r>
      <w:r>
        <w:rPr>
          <w:b w:val="0"/>
          <w:i w:val="0"/>
          <w:sz w:val="20"/>
        </w:rPr>
        <w:t>. The third is a file on a stage, read by Cortex Analyst. They share no definition — there is no generation step from one to another, so a change to any one of them leaves the other two exactly as they were.</w:t>
      </w:r>
    </w:p>
    <w:p>
      <w:pPr>
        <w:spacing w:after="120"/>
      </w:pPr>
      <w:r>
        <w:rPr>
          <w:b w:val="0"/>
          <w:i w:val="0"/>
          <w:sz w:val="20"/>
        </w:rPr>
        <w:t>That is the fact to internalise before touching any of them.</w:t>
      </w:r>
    </w:p>
    <w:p>
      <w:pPr>
        <w:spacing w:before="80" w:after="160"/>
        <w:jc w:val="center"/>
      </w:pPr>
      <w:r>
        <w:rPr>
          <w:color w:val="C8D4DE"/>
          <w:sz w:val="12"/>
        </w:rPr>
        <w:t>──────────────────────────────────────────────────────────</w:t>
      </w:r>
    </w:p>
    <w:p>
      <w:pPr>
        <w:keepNext/>
        <w:spacing w:before="240" w:after="60"/>
        <w:outlineLvl w:val="1"/>
      </w:pPr>
      <w:r>
        <w:rPr>
          <w:b/>
          <w:color w:val="1B3A57"/>
          <w:sz w:val="23"/>
        </w:rPr>
        <w:t>Semantic view coverage</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r>
          </w:p>
        </w:tc>
        <w:tc>
          <w:tcPr>
            <w:tcW w:type="dxa" w:w="3528"/>
            <w:shd w:val="clear" w:fill="1B3A57"/>
          </w:tcPr>
          <w:p>
            <w:pPr>
              <w:spacing w:after="20"/>
            </w:pPr>
            <w:r/>
            <w:r>
              <w:rPr>
                <w:b/>
                <w:color w:val="FFFFFF"/>
                <w:sz w:val="17"/>
              </w:rPr>
              <w:t>ANALYTICS.SAP_FINANCE_360</w:t>
            </w:r>
          </w:p>
        </w:tc>
        <w:tc>
          <w:tcPr>
            <w:tcW w:type="dxa" w:w="3528"/>
            <w:shd w:val="clear" w:fill="1B3A57"/>
          </w:tcPr>
          <w:p>
            <w:pPr>
              <w:spacing w:after="20"/>
            </w:pPr>
            <w:r/>
            <w:r>
              <w:rPr>
                <w:b/>
                <w:color w:val="FFFFFF"/>
                <w:sz w:val="17"/>
              </w:rPr>
              <w:t>SEMANTIC.SAP_FINANCE_360_ANALYTICS</w:t>
            </w:r>
          </w:p>
        </w:tc>
      </w:tr>
      <w:tr>
        <w:trPr>
          <w:cantSplit/>
        </w:trPr>
        <w:tc>
          <w:tcPr>
            <w:tcW w:type="dxa" w:w="2880"/>
          </w:tcPr>
          <w:p>
            <w:pPr>
              <w:spacing w:after="20"/>
            </w:pPr>
            <w:r/>
            <w:r>
              <w:rPr>
                <w:b w:val="0"/>
                <w:sz w:val="17"/>
              </w:rPr>
              <w:t>Logical tables</w:t>
            </w:r>
          </w:p>
        </w:tc>
        <w:tc>
          <w:tcPr>
            <w:tcW w:type="dxa" w:w="3528"/>
          </w:tcPr>
          <w:p>
            <w:pPr>
              <w:spacing w:after="20"/>
            </w:pPr>
            <w:r/>
            <w:r>
              <w:rPr>
                <w:b w:val="0"/>
                <w:sz w:val="17"/>
              </w:rPr>
              <w:t>4</w:t>
            </w:r>
          </w:p>
        </w:tc>
        <w:tc>
          <w:tcPr>
            <w:tcW w:type="dxa" w:w="3528"/>
          </w:tcPr>
          <w:p>
            <w:pPr>
              <w:spacing w:after="20"/>
            </w:pPr>
            <w:r/>
            <w:r>
              <w:rPr>
                <w:b w:val="0"/>
                <w:sz w:val="17"/>
              </w:rPr>
              <w:t>5</w:t>
            </w:r>
          </w:p>
        </w:tc>
      </w:tr>
      <w:tr>
        <w:trPr>
          <w:cantSplit/>
        </w:trPr>
        <w:tc>
          <w:tcPr>
            <w:tcW w:type="dxa" w:w="2880"/>
            <w:shd w:val="clear" w:fill="EEF4F8"/>
          </w:tcPr>
          <w:p>
            <w:pPr>
              <w:spacing w:after="20"/>
            </w:pPr>
            <w:r/>
            <w:r>
              <w:rPr>
                <w:b w:val="0"/>
                <w:sz w:val="17"/>
              </w:rPr>
              <w:t>Relationships</w:t>
            </w:r>
          </w:p>
        </w:tc>
        <w:tc>
          <w:tcPr>
            <w:tcW w:type="dxa" w:w="3528"/>
            <w:shd w:val="clear" w:fill="EEF4F8"/>
          </w:tcPr>
          <w:p>
            <w:pPr>
              <w:spacing w:after="20"/>
            </w:pPr>
            <w:r/>
            <w:r>
              <w:rPr>
                <w:b/>
                <w:sz w:val="17"/>
              </w:rPr>
              <w:t>0</w:t>
            </w:r>
          </w:p>
        </w:tc>
        <w:tc>
          <w:tcPr>
            <w:tcW w:type="dxa" w:w="3528"/>
            <w:shd w:val="clear" w:fill="EEF4F8"/>
          </w:tcPr>
          <w:p>
            <w:pPr>
              <w:spacing w:after="20"/>
            </w:pPr>
            <w:r/>
            <w:r>
              <w:rPr>
                <w:b w:val="0"/>
                <w:sz w:val="17"/>
              </w:rPr>
              <w:t>12</w:t>
            </w:r>
          </w:p>
        </w:tc>
      </w:tr>
      <w:tr>
        <w:trPr>
          <w:cantSplit/>
        </w:trPr>
        <w:tc>
          <w:tcPr>
            <w:tcW w:type="dxa" w:w="2880"/>
          </w:tcPr>
          <w:p>
            <w:pPr>
              <w:spacing w:after="20"/>
            </w:pPr>
            <w:r/>
            <w:r>
              <w:rPr>
                <w:b w:val="0"/>
                <w:sz w:val="17"/>
              </w:rPr>
              <w:t>Metrics</w:t>
            </w:r>
          </w:p>
        </w:tc>
        <w:tc>
          <w:tcPr>
            <w:tcW w:type="dxa" w:w="3528"/>
          </w:tcPr>
          <w:p>
            <w:pPr>
              <w:spacing w:after="20"/>
            </w:pPr>
            <w:r/>
            <w:r>
              <w:rPr>
                <w:b w:val="0"/>
                <w:sz w:val="17"/>
              </w:rPr>
              <w:t>45</w:t>
            </w:r>
          </w:p>
        </w:tc>
        <w:tc>
          <w:tcPr>
            <w:tcW w:type="dxa" w:w="3528"/>
          </w:tcPr>
          <w:p>
            <w:pPr>
              <w:spacing w:after="20"/>
            </w:pPr>
            <w:r/>
            <w:r>
              <w:rPr>
                <w:b/>
                <w:sz w:val="17"/>
              </w:rPr>
              <w:t>0</w:t>
            </w:r>
          </w:p>
        </w:tc>
      </w:tr>
      <w:tr>
        <w:trPr>
          <w:cantSplit/>
        </w:trPr>
        <w:tc>
          <w:tcPr>
            <w:tcW w:type="dxa" w:w="2880"/>
            <w:shd w:val="clear" w:fill="EEF4F8"/>
          </w:tcPr>
          <w:p>
            <w:pPr>
              <w:spacing w:after="20"/>
            </w:pPr>
            <w:r/>
            <w:r>
              <w:rPr>
                <w:rFonts w:ascii="Consolas" w:hAnsi="Consolas"/>
                <w:b w:val="0"/>
                <w:color w:val="1B5E8C"/>
                <w:sz w:val="16"/>
              </w:rPr>
              <w:t>DESCRIBE</w:t>
            </w:r>
            <w:r>
              <w:rPr>
                <w:b w:val="0"/>
                <w:sz w:val="17"/>
              </w:rPr>
              <w:t xml:space="preserve"> dimension rows</w:t>
            </w:r>
          </w:p>
        </w:tc>
        <w:tc>
          <w:tcPr>
            <w:tcW w:type="dxa" w:w="3528"/>
            <w:shd w:val="clear" w:fill="EEF4F8"/>
          </w:tcPr>
          <w:p>
            <w:pPr>
              <w:spacing w:after="20"/>
            </w:pPr>
            <w:r/>
            <w:r>
              <w:rPr>
                <w:b w:val="0"/>
                <w:sz w:val="17"/>
              </w:rPr>
              <w:t>120</w:t>
            </w:r>
          </w:p>
        </w:tc>
        <w:tc>
          <w:tcPr>
            <w:tcW w:type="dxa" w:w="3528"/>
            <w:shd w:val="clear" w:fill="EEF4F8"/>
          </w:tcPr>
          <w:p>
            <w:pPr>
              <w:spacing w:after="20"/>
            </w:pPr>
            <w:r/>
            <w:r>
              <w:rPr>
                <w:b w:val="0"/>
                <w:sz w:val="17"/>
              </w:rPr>
              <w:t>251</w:t>
            </w:r>
          </w:p>
        </w:tc>
      </w:tr>
      <w:tr>
        <w:trPr>
          <w:cantSplit/>
        </w:trPr>
        <w:tc>
          <w:tcPr>
            <w:tcW w:type="dxa" w:w="2880"/>
          </w:tcPr>
          <w:p>
            <w:pPr>
              <w:spacing w:after="20"/>
            </w:pPr>
            <w:r/>
            <w:r>
              <w:rPr>
                <w:rFonts w:ascii="Consolas" w:hAnsi="Consolas"/>
                <w:b w:val="0"/>
                <w:color w:val="1B5E8C"/>
                <w:sz w:val="16"/>
              </w:rPr>
              <w:t>DESCRIBE</w:t>
            </w:r>
            <w:r>
              <w:rPr>
                <w:b w:val="0"/>
                <w:sz w:val="17"/>
              </w:rPr>
              <w:t xml:space="preserve"> fact rows</w:t>
            </w:r>
          </w:p>
        </w:tc>
        <w:tc>
          <w:tcPr>
            <w:tcW w:type="dxa" w:w="3528"/>
          </w:tcPr>
          <w:p>
            <w:pPr>
              <w:spacing w:after="20"/>
            </w:pPr>
            <w:r/>
            <w:r>
              <w:rPr>
                <w:b w:val="0"/>
                <w:sz w:val="17"/>
              </w:rPr>
              <w:t>25</w:t>
            </w:r>
          </w:p>
        </w:tc>
        <w:tc>
          <w:tcPr>
            <w:tcW w:type="dxa" w:w="3528"/>
          </w:tcPr>
          <w:p>
            <w:pPr>
              <w:spacing w:after="20"/>
            </w:pPr>
            <w:r/>
            <w:r>
              <w:rPr>
                <w:b w:val="0"/>
                <w:sz w:val="17"/>
              </w:rPr>
              <w:t>74</w:t>
            </w:r>
          </w:p>
        </w:tc>
      </w:tr>
    </w:tbl>
    <w:p>
      <w:pPr>
        <w:spacing w:after="80"/>
      </w:pPr>
    </w:p>
    <w:p>
      <w:pPr>
        <w:spacing w:after="120"/>
      </w:pPr>
      <w:r>
        <w:rPr>
          <w:b w:val="0"/>
          <w:i w:val="0"/>
          <w:sz w:val="20"/>
        </w:rPr>
        <w:t>Logical table names: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ANALYTICS.SAP_FINANCE_360</w:t>
            </w:r>
          </w:p>
        </w:tc>
        <w:tc>
          <w:tcPr>
            <w:tcW w:type="dxa" w:w="7056"/>
            <w:shd w:val="clear" w:fill="1B3A57"/>
          </w:tcPr>
          <w:p>
            <w:pPr>
              <w:spacing w:after="20"/>
            </w:pPr>
            <w:r/>
            <w:r>
              <w:rPr>
                <w:b/>
                <w:color w:val="FFFFFF"/>
                <w:sz w:val="17"/>
              </w:rPr>
              <w:t>SEMANTIC.SAP_FINANCE_360_ANALYTICS</w:t>
            </w:r>
          </w:p>
        </w:tc>
      </w:tr>
      <w:tr>
        <w:trPr>
          <w:cantSplit/>
        </w:trPr>
        <w:tc>
          <w:tcPr>
            <w:tcW w:type="dxa" w:w="2880"/>
          </w:tcPr>
          <w:p>
            <w:pPr>
              <w:spacing w:after="20"/>
            </w:pPr>
            <w:r/>
            <w:r>
              <w:rPr>
                <w:rFonts w:ascii="Consolas" w:hAnsi="Consolas"/>
                <w:b w:val="0"/>
                <w:color w:val="1B5E8C"/>
                <w:sz w:val="16"/>
              </w:rPr>
              <w:t>AR</w:t>
            </w:r>
          </w:p>
        </w:tc>
        <w:tc>
          <w:tcPr>
            <w:tcW w:type="dxa" w:w="7056"/>
          </w:tcPr>
          <w:p>
            <w:pPr>
              <w:spacing w:after="20"/>
            </w:pPr>
            <w:r/>
            <w:r>
              <w:rPr>
                <w:rFonts w:ascii="Consolas" w:hAnsi="Consolas"/>
                <w:b w:val="0"/>
                <w:color w:val="1B5E8C"/>
                <w:sz w:val="16"/>
              </w:rPr>
              <w:t>AP_AGING</w:t>
            </w:r>
          </w:p>
        </w:tc>
      </w:tr>
      <w:tr>
        <w:trPr>
          <w:cantSplit/>
        </w:trPr>
        <w:tc>
          <w:tcPr>
            <w:tcW w:type="dxa" w:w="2880"/>
            <w:shd w:val="clear" w:fill="EEF4F8"/>
          </w:tcPr>
          <w:p>
            <w:pPr>
              <w:spacing w:after="20"/>
            </w:pPr>
            <w:r/>
            <w:r>
              <w:rPr>
                <w:rFonts w:ascii="Consolas" w:hAnsi="Consolas"/>
                <w:b w:val="0"/>
                <w:color w:val="1B5E8C"/>
                <w:sz w:val="16"/>
              </w:rPr>
              <w:t>EXPENSE</w:t>
            </w:r>
          </w:p>
        </w:tc>
        <w:tc>
          <w:tcPr>
            <w:tcW w:type="dxa" w:w="7056"/>
            <w:shd w:val="clear" w:fill="EEF4F8"/>
          </w:tcPr>
          <w:p>
            <w:pPr>
              <w:spacing w:after="20"/>
            </w:pPr>
            <w:r/>
            <w:r>
              <w:rPr>
                <w:rFonts w:ascii="Consolas" w:hAnsi="Consolas"/>
                <w:b w:val="0"/>
                <w:color w:val="1B5E8C"/>
                <w:sz w:val="16"/>
              </w:rPr>
              <w:t>EXPENSE_BY_COSTCENTER</w:t>
            </w:r>
          </w:p>
        </w:tc>
      </w:tr>
      <w:tr>
        <w:trPr>
          <w:cantSplit/>
        </w:trPr>
        <w:tc>
          <w:tcPr>
            <w:tcW w:type="dxa" w:w="2880"/>
          </w:tcPr>
          <w:p>
            <w:pPr>
              <w:spacing w:after="20"/>
            </w:pPr>
            <w:r/>
            <w:r>
              <w:rPr>
                <w:rFonts w:ascii="Consolas" w:hAnsi="Consolas"/>
                <w:b w:val="0"/>
                <w:color w:val="1B5E8C"/>
                <w:sz w:val="16"/>
              </w:rPr>
              <w:t>JOURNAL</w:t>
            </w:r>
          </w:p>
        </w:tc>
        <w:tc>
          <w:tcPr>
            <w:tcW w:type="dxa" w:w="7056"/>
          </w:tcPr>
          <w:p>
            <w:pPr>
              <w:spacing w:after="20"/>
            </w:pPr>
            <w:r/>
            <w:r>
              <w:rPr>
                <w:rFonts w:ascii="Consolas" w:hAnsi="Consolas"/>
                <w:b w:val="0"/>
                <w:color w:val="1B5E8C"/>
                <w:sz w:val="16"/>
              </w:rPr>
              <w:t>JOURNAL_ENTRY</w:t>
            </w:r>
          </w:p>
        </w:tc>
      </w:tr>
      <w:tr>
        <w:trPr>
          <w:cantSplit/>
        </w:trPr>
        <w:tc>
          <w:tcPr>
            <w:tcW w:type="dxa" w:w="2880"/>
            <w:shd w:val="clear" w:fill="EEF4F8"/>
          </w:tcPr>
          <w:p>
            <w:pPr>
              <w:spacing w:after="20"/>
            </w:pPr>
            <w:r/>
            <w:r>
              <w:rPr>
                <w:rFonts w:ascii="Consolas" w:hAnsi="Consolas"/>
                <w:b w:val="0"/>
                <w:color w:val="1B5E8C"/>
                <w:sz w:val="16"/>
              </w:rPr>
              <w:t>REVENUE</w:t>
            </w:r>
          </w:p>
        </w:tc>
        <w:tc>
          <w:tcPr>
            <w:tcW w:type="dxa" w:w="7056"/>
            <w:shd w:val="clear" w:fill="EEF4F8"/>
          </w:tcPr>
          <w:p>
            <w:pPr>
              <w:spacing w:after="20"/>
            </w:pPr>
            <w:r/>
            <w:r>
              <w:rPr>
                <w:rFonts w:ascii="Consolas" w:hAnsi="Consolas"/>
                <w:b w:val="0"/>
                <w:color w:val="1B5E8C"/>
                <w:sz w:val="16"/>
              </w:rPr>
              <w:t>PNL_SUMMARY</w:t>
            </w:r>
          </w:p>
        </w:tc>
      </w:tr>
      <w:tr>
        <w:trPr>
          <w:cantSplit/>
        </w:trPr>
        <w:tc>
          <w:tcPr>
            <w:tcW w:type="dxa" w:w="2880"/>
          </w:tcPr>
          <w:p>
            <w:pPr>
              <w:spacing w:after="20"/>
            </w:pPr>
            <w:r/>
            <w:r>
              <w:rPr>
                <w:rFonts w:ascii="Consolas" w:hAnsi="Consolas"/>
                <w:b w:val="0"/>
                <w:color w:val="1B5E8C"/>
                <w:sz w:val="16"/>
              </w:rPr>
              <w:t>REVENUE_BY_PROFITCENTER</w:t>
            </w:r>
          </w:p>
        </w:tc>
        <w:tc>
          <w:tcPr>
            <w:tcW w:type="dxa" w:w="7056"/>
          </w:tcPr>
          <w:p>
            <w:pPr>
              <w:spacing w:after="20"/>
            </w:pPr>
            <w:r/>
          </w:p>
        </w:tc>
      </w:tr>
    </w:tbl>
    <w:p>
      <w:pPr>
        <w:spacing w:after="80"/>
      </w:pPr>
    </w:p>
    <w:p>
      <w:pPr>
        <w:spacing w:after="120"/>
      </w:pPr>
      <w:r>
        <w:rPr>
          <w:b w:val="0"/>
          <w:i w:val="0"/>
          <w:sz w:val="20"/>
        </w:rPr>
        <w:t xml:space="preserve">The naming convention differs too: the </w:t>
      </w:r>
      <w:r>
        <w:rPr>
          <w:rFonts w:ascii="Consolas" w:hAnsi="Consolas"/>
          <w:b w:val="0"/>
          <w:i w:val="0"/>
          <w:color w:val="1B5E8C"/>
          <w:sz w:val="19"/>
        </w:rPr>
        <w:t>ANALYTICS</w:t>
      </w:r>
      <w:r>
        <w:rPr>
          <w:b w:val="0"/>
          <w:i w:val="0"/>
          <w:sz w:val="20"/>
        </w:rPr>
        <w:t xml:space="preserve"> view uses short business names (</w:t>
      </w:r>
      <w:r>
        <w:rPr>
          <w:rFonts w:ascii="Consolas" w:hAnsi="Consolas"/>
          <w:b w:val="0"/>
          <w:i w:val="0"/>
          <w:color w:val="1B5E8C"/>
          <w:sz w:val="19"/>
        </w:rPr>
        <w:t>AR</w:t>
      </w:r>
      <w:r>
        <w:rPr>
          <w:b w:val="0"/>
          <w:i w:val="0"/>
          <w:sz w:val="20"/>
        </w:rPr>
        <w:t xml:space="preserve">, </w:t>
      </w:r>
      <w:r>
        <w:rPr>
          <w:rFonts w:ascii="Consolas" w:hAnsi="Consolas"/>
          <w:b w:val="0"/>
          <w:i w:val="0"/>
          <w:color w:val="1B5E8C"/>
          <w:sz w:val="19"/>
        </w:rPr>
        <w:t>EXPENSE</w:t>
      </w:r>
      <w:r>
        <w:rPr>
          <w:b w:val="0"/>
          <w:i w:val="0"/>
          <w:sz w:val="20"/>
        </w:rPr>
        <w:t xml:space="preserve">), the </w:t>
      </w:r>
      <w:r>
        <w:rPr>
          <w:rFonts w:ascii="Consolas" w:hAnsi="Consolas"/>
          <w:b w:val="0"/>
          <w:i w:val="0"/>
          <w:color w:val="1B5E8C"/>
          <w:sz w:val="19"/>
        </w:rPr>
        <w:t>SEMANTIC</w:t>
      </w:r>
      <w:r>
        <w:rPr>
          <w:b w:val="0"/>
          <w:i w:val="0"/>
          <w:sz w:val="20"/>
        </w:rPr>
        <w:t xml:space="preserve"> view mirrors the underlying table names (</w:t>
      </w:r>
      <w:r>
        <w:rPr>
          <w:rFonts w:ascii="Consolas" w:hAnsi="Consolas"/>
          <w:b w:val="0"/>
          <w:i w:val="0"/>
          <w:color w:val="1B5E8C"/>
          <w:sz w:val="19"/>
        </w:rPr>
        <w:t>AP_AGING</w:t>
      </w:r>
      <w:r>
        <w:rPr>
          <w:b w:val="0"/>
          <w:i w:val="0"/>
          <w:sz w:val="20"/>
        </w:rPr>
        <w:t xml:space="preserve">, </w:t>
      </w:r>
      <w:r>
        <w:rPr>
          <w:rFonts w:ascii="Consolas" w:hAnsi="Consolas"/>
          <w:b w:val="0"/>
          <w:i w:val="0"/>
          <w:color w:val="1B5E8C"/>
          <w:sz w:val="19"/>
        </w:rPr>
        <w:t>EXPENSE_BY_COSTCENTER</w:t>
      </w:r>
      <w:r>
        <w:rPr>
          <w:b w:val="0"/>
          <w:i w:val="0"/>
          <w:sz w:val="20"/>
        </w:rPr>
        <w:t>). A question written against one will not run against the other.</w:t>
      </w:r>
    </w:p>
    <w:p>
      <w:pPr>
        <w:keepNext/>
        <w:spacing w:before="160" w:after="40"/>
        <w:outlineLvl w:val="2"/>
      </w:pPr>
      <w:r>
        <w:rPr>
          <w:b/>
          <w:color w:val="29B5E8"/>
          <w:sz w:val="20"/>
        </w:rPr>
        <w:t>The split is a complement, not a progression</w:t>
      </w:r>
    </w:p>
    <w:p>
      <w:pPr>
        <w:spacing w:after="120"/>
      </w:pPr>
      <w:r>
        <w:rPr>
          <w:b w:val="0"/>
          <w:i w:val="0"/>
          <w:sz w:val="20"/>
        </w:rPr>
        <w:t>Read the relationships and metrics rows together:</w:t>
      </w:r>
    </w:p>
    <w:p>
      <w:pPr>
        <w:pStyle w:val="ListBullet"/>
        <w:spacing w:after="40"/>
      </w:pPr>
      <w:r>
        <w:rPr>
          <w:b w:val="0"/>
          <w:sz w:val="20"/>
        </w:rPr>
        <w:t xml:space="preserve">The </w:t>
      </w:r>
      <w:r>
        <w:rPr>
          <w:rFonts w:ascii="Consolas" w:hAnsi="Consolas"/>
          <w:b w:val="0"/>
          <w:color w:val="1B5E8C"/>
          <w:sz w:val="19"/>
        </w:rPr>
        <w:t>ANALYTICS</w:t>
      </w:r>
      <w:r>
        <w:rPr>
          <w:b w:val="0"/>
          <w:sz w:val="20"/>
        </w:rPr>
        <w:t xml:space="preserve"> view has </w:t>
      </w:r>
      <w:r>
        <w:rPr>
          <w:b/>
          <w:sz w:val="20"/>
        </w:rPr>
        <w:t>45 metrics and cannot join</w:t>
      </w:r>
      <w:r>
        <w:rPr>
          <w:b w:val="0"/>
          <w:sz w:val="20"/>
        </w:rPr>
        <w:t>. It can compute a defined measure but has no declared path between its four tables.</w:t>
      </w:r>
    </w:p>
    <w:p>
      <w:pPr>
        <w:pStyle w:val="ListBullet"/>
        <w:spacing w:after="40"/>
      </w:pPr>
      <w:r>
        <w:rPr>
          <w:b w:val="0"/>
          <w:sz w:val="20"/>
        </w:rPr>
        <w:t xml:space="preserve">The </w:t>
      </w:r>
      <w:r>
        <w:rPr>
          <w:rFonts w:ascii="Consolas" w:hAnsi="Consolas"/>
          <w:b w:val="0"/>
          <w:color w:val="1B5E8C"/>
          <w:sz w:val="19"/>
        </w:rPr>
        <w:t>SEMANTIC</w:t>
      </w:r>
      <w:r>
        <w:rPr>
          <w:b w:val="0"/>
          <w:sz w:val="20"/>
        </w:rPr>
        <w:t xml:space="preserve"> view has </w:t>
      </w:r>
      <w:r>
        <w:rPr>
          <w:b/>
          <w:sz w:val="20"/>
        </w:rPr>
        <w:t>12 relationships and no metrics</w:t>
      </w:r>
      <w:r>
        <w:rPr>
          <w:b w:val="0"/>
          <w:sz w:val="20"/>
        </w:rPr>
        <w:t>. It can join across five tables but defines no measure to compute over the join.</w:t>
      </w:r>
    </w:p>
    <w:p>
      <w:pPr>
        <w:spacing w:after="120"/>
      </w:pPr>
      <w:r>
        <w:rPr>
          <w:b w:val="0"/>
          <w:i w:val="0"/>
          <w:sz w:val="20"/>
        </w:rPr>
        <w:t xml:space="preserve">Neither is a superset of the other, so "use the newer one" is not available as advice. And a question that needs a governed metric </w:t>
      </w:r>
      <w:r>
        <w:rPr>
          <w:b w:val="0"/>
          <w:i w:val="0"/>
          <w:sz w:val="20"/>
        </w:rPr>
        <w:t>and</w:t>
      </w:r>
      <w:r>
        <w:rPr>
          <w:b w:val="0"/>
          <w:i w:val="0"/>
          <w:sz w:val="20"/>
        </w:rPr>
        <w:t xml:space="preserve"> a join across two tables — a perfectly ordinary finance question — cannot be answered by either view alone.</w:t>
      </w:r>
    </w:p>
    <w:p>
      <w:pPr>
        <w:spacing w:after="120"/>
      </w:pPr>
      <w:r>
        <w:rPr>
          <w:rFonts w:ascii="Consolas" w:hAnsi="Consolas"/>
          <w:b w:val="0"/>
          <w:i w:val="0"/>
          <w:color w:val="1B5E8C"/>
          <w:sz w:val="19"/>
        </w:rPr>
        <w:t>DT_GL_BALANCE</w:t>
      </w:r>
      <w:r>
        <w:rPr>
          <w:b w:val="0"/>
          <w:i w:val="0"/>
          <w:sz w:val="20"/>
        </w:rPr>
        <w:t xml:space="preserve"> (1,793 rows) appears in neither view. Of the seven L2 objects, </w:t>
      </w:r>
      <w:r>
        <w:rPr>
          <w:rFonts w:ascii="Consolas" w:hAnsi="Consolas"/>
          <w:b w:val="0"/>
          <w:i w:val="0"/>
          <w:color w:val="1B5E8C"/>
          <w:sz w:val="19"/>
        </w:rPr>
        <w:t>ANALYTICS</w:t>
      </w:r>
      <w:r>
        <w:rPr>
          <w:b w:val="0"/>
          <w:i w:val="0"/>
          <w:sz w:val="20"/>
        </w:rPr>
        <w:t xml:space="preserve"> exposes four and </w:t>
      </w:r>
      <w:r>
        <w:rPr>
          <w:rFonts w:ascii="Consolas" w:hAnsi="Consolas"/>
          <w:b w:val="0"/>
          <w:i w:val="0"/>
          <w:color w:val="1B5E8C"/>
          <w:sz w:val="19"/>
        </w:rPr>
        <w:t>SEMANTIC</w:t>
      </w:r>
      <w:r>
        <w:rPr>
          <w:b w:val="0"/>
          <w:i w:val="0"/>
          <w:sz w:val="20"/>
        </w:rPr>
        <w:t xml:space="preserve"> exposes five; the union is six.</w:t>
      </w:r>
    </w:p>
    <w:p>
      <w:pPr>
        <w:keepNext/>
        <w:spacing w:before="160" w:after="40"/>
        <w:outlineLvl w:val="2"/>
      </w:pPr>
      <w:r>
        <w:rPr>
          <w:b/>
          <w:color w:val="29B5E8"/>
          <w:sz w:val="20"/>
        </w:rPr>
        <w:t>What to do about it</w:t>
      </w:r>
    </w:p>
    <w:p>
      <w:pPr>
        <w:spacing w:after="120"/>
      </w:pPr>
      <w:r>
        <w:rPr>
          <w:b w:val="0"/>
          <w:i w:val="0"/>
          <w:sz w:val="20"/>
        </w:rPr>
        <w:t>This is the least defensible part of the stack. It is not a discovery about SAP or about Snowflake semantic views — it is where iteration stopped, and it should be read as technical debt rather than as design.</w:t>
      </w:r>
    </w:p>
    <w:p>
      <w:pPr>
        <w:spacing w:after="120"/>
      </w:pPr>
      <w:r>
        <w:rPr>
          <w:b w:val="0"/>
          <w:i w:val="0"/>
          <w:sz w:val="20"/>
        </w:rPr>
        <w:t xml:space="preserve">If you are reproducing this pattern: </w:t>
      </w:r>
      <w:r>
        <w:rPr>
          <w:b/>
          <w:i w:val="0"/>
          <w:sz w:val="20"/>
        </w:rPr>
        <w:t>build one semantic view</w:t>
      </w:r>
      <w:r>
        <w:rPr>
          <w:b w:val="0"/>
          <w:i w:val="0"/>
          <w:sz w:val="20"/>
        </w:rPr>
        <w:t xml:space="preserve"> carrying both the relationships and the metrics, over all seven L2 objects. There is no reason in the platform for the split.</w:t>
      </w:r>
    </w:p>
    <w:p>
      <w:pPr>
        <w:spacing w:after="120"/>
      </w:pPr>
      <w:r>
        <w:rPr>
          <w:b w:val="0"/>
          <w:i w:val="0"/>
          <w:sz w:val="20"/>
        </w:rPr>
        <w:t xml:space="preserve">If you are maintaining this one, the merge target is the </w:t>
      </w:r>
      <w:r>
        <w:rPr>
          <w:rFonts w:ascii="Consolas" w:hAnsi="Consolas"/>
          <w:b w:val="0"/>
          <w:i w:val="0"/>
          <w:color w:val="1B5E8C"/>
          <w:sz w:val="19"/>
        </w:rPr>
        <w:t>SEMANTIC</w:t>
      </w:r>
      <w:r>
        <w:rPr>
          <w:b w:val="0"/>
          <w:i w:val="0"/>
          <w:sz w:val="20"/>
        </w:rPr>
        <w:t xml:space="preserve"> view — it has the relationships, which are the harder half to reconstruct, and the wider table coverage. Port the 45 metrics onto it and add </w:t>
      </w:r>
      <w:r>
        <w:rPr>
          <w:rFonts w:ascii="Consolas" w:hAnsi="Consolas"/>
          <w:b w:val="0"/>
          <w:i w:val="0"/>
          <w:color w:val="1B5E8C"/>
          <w:sz w:val="19"/>
        </w:rPr>
        <w:t>DT_GL_BALANCE</w:t>
      </w:r>
      <w:r>
        <w:rPr>
          <w:b w:val="0"/>
          <w:i w:val="0"/>
          <w:sz w:val="20"/>
        </w:rPr>
        <w:t>.</w:t>
      </w:r>
    </w:p>
    <w:p>
      <w:pPr>
        <w:keepNext/>
        <w:spacing w:before="160" w:after="40"/>
        <w:outlineLvl w:val="2"/>
      </w:pPr>
      <w:r>
        <w:rPr>
          <w:b/>
          <w:color w:val="29B5E8"/>
          <w:sz w:val="20"/>
        </w:rPr>
        <w:t>On the dimension counts</w:t>
      </w:r>
    </w:p>
    <w:p>
      <w:pPr>
        <w:spacing w:after="120"/>
      </w:pPr>
      <w:r>
        <w:rPr>
          <w:b w:val="0"/>
          <w:i w:val="0"/>
          <w:sz w:val="20"/>
        </w:rPr>
        <w:t xml:space="preserve">120 and 251 dimensions look like a large modelling effort and are not one. SAP source objects are wide — </w:t>
      </w:r>
      <w:r>
        <w:rPr>
          <w:rFonts w:ascii="Consolas" w:hAnsi="Consolas"/>
          <w:b w:val="0"/>
          <w:i w:val="0"/>
          <w:color w:val="1B5E8C"/>
          <w:sz w:val="19"/>
        </w:rPr>
        <w:t>COSTCENTER</w:t>
      </w:r>
      <w:r>
        <w:rPr>
          <w:b w:val="0"/>
          <w:i w:val="0"/>
          <w:sz w:val="20"/>
        </w:rPr>
        <w:t xml:space="preserve"> alone carries dozens of columns — and each retained column becomes a dimension row in </w:t>
      </w:r>
      <w:r>
        <w:rPr>
          <w:rFonts w:ascii="Consolas" w:hAnsi="Consolas"/>
          <w:b w:val="0"/>
          <w:i w:val="0"/>
          <w:color w:val="1B5E8C"/>
          <w:sz w:val="19"/>
        </w:rPr>
        <w:t>DESCRIBE SEMANTIC VIEW</w:t>
      </w:r>
      <w:r>
        <w:rPr>
          <w:b w:val="0"/>
          <w:i w:val="0"/>
          <w:sz w:val="20"/>
        </w:rPr>
        <w:t xml:space="preserve"> output.</w:t>
      </w:r>
    </w:p>
    <w:p>
      <w:pPr>
        <w:spacing w:after="120"/>
      </w:pPr>
      <w:r>
        <w:rPr>
          <w:b w:val="0"/>
          <w:i w:val="0"/>
          <w:sz w:val="20"/>
        </w:rPr>
        <w:t>Treat those numbers as describe-output row counts, not as a count of curated, documented dimensions. Nobody wrote 251 dimension descriptions, and quoting the figure as evidence of modelling depth would be misleading.</w:t>
      </w:r>
    </w:p>
    <w:p>
      <w:pPr>
        <w:spacing w:after="120"/>
      </w:pPr>
      <w:r>
        <w:rPr>
          <w:b w:val="0"/>
          <w:i w:val="0"/>
          <w:sz w:val="20"/>
        </w:rPr>
        <w:t>The contrast with the Analyst model is instructive: 24 dimensions across four tables, chosen rather than inherited. That is a model someone shaped.</w:t>
      </w:r>
    </w:p>
    <w:p>
      <w:pPr>
        <w:spacing w:before="80" w:after="160"/>
        <w:jc w:val="center"/>
      </w:pPr>
      <w:r>
        <w:rPr>
          <w:color w:val="C8D4DE"/>
          <w:sz w:val="12"/>
        </w:rPr>
        <w:t>──────────────────────────────────────────────────────────</w:t>
      </w:r>
    </w:p>
    <w:p>
      <w:pPr>
        <w:keepNext/>
        <w:spacing w:before="240" w:after="60"/>
        <w:outlineLvl w:val="1"/>
      </w:pPr>
      <w:r>
        <w:rPr>
          <w:b/>
          <w:color w:val="1B3A57"/>
          <w:sz w:val="23"/>
        </w:rPr>
        <w:t>The Cortex Analyst model</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Stage path</w:t>
            </w:r>
          </w:p>
        </w:tc>
        <w:tc>
          <w:tcPr>
            <w:tcW w:type="dxa" w:w="7056"/>
          </w:tcPr>
          <w:p>
            <w:pPr>
              <w:spacing w:after="20"/>
            </w:pPr>
            <w:r/>
            <w:r>
              <w:rPr>
                <w:rFonts w:ascii="Consolas" w:hAnsi="Consolas"/>
                <w:b w:val="0"/>
                <w:color w:val="1B5E8C"/>
                <w:sz w:val="16"/>
              </w:rPr>
              <w:t>@SAP_FINANCE_360.SEMANTIC.SEMANTIC_MODELS/finance_360.semantic.yaml</w:t>
            </w:r>
          </w:p>
        </w:tc>
      </w:tr>
      <w:tr>
        <w:trPr>
          <w:cantSplit/>
        </w:trPr>
        <w:tc>
          <w:tcPr>
            <w:tcW w:type="dxa" w:w="2880"/>
            <w:shd w:val="clear" w:fill="EEF4F8"/>
          </w:tcPr>
          <w:p>
            <w:pPr>
              <w:spacing w:after="20"/>
            </w:pPr>
            <w:r/>
            <w:r>
              <w:rPr>
                <w:b w:val="0"/>
                <w:sz w:val="17"/>
              </w:rPr>
              <w:t>Model name</w:t>
            </w:r>
          </w:p>
        </w:tc>
        <w:tc>
          <w:tcPr>
            <w:tcW w:type="dxa" w:w="7056"/>
            <w:shd w:val="clear" w:fill="EEF4F8"/>
          </w:tcPr>
          <w:p>
            <w:pPr>
              <w:spacing w:after="20"/>
            </w:pPr>
            <w:r/>
            <w:r>
              <w:rPr>
                <w:rFonts w:ascii="Consolas" w:hAnsi="Consolas"/>
                <w:b w:val="0"/>
                <w:color w:val="1B5E8C"/>
                <w:sz w:val="16"/>
              </w:rPr>
              <w:t>sap_finance_360</w:t>
            </w:r>
          </w:p>
        </w:tc>
      </w:tr>
      <w:tr>
        <w:trPr>
          <w:cantSplit/>
        </w:trPr>
        <w:tc>
          <w:tcPr>
            <w:tcW w:type="dxa" w:w="2880"/>
          </w:tcPr>
          <w:p>
            <w:pPr>
              <w:spacing w:after="20"/>
            </w:pPr>
            <w:r/>
            <w:r>
              <w:rPr>
                <w:b w:val="0"/>
                <w:sz w:val="17"/>
              </w:rPr>
              <w:t>Base tables</w:t>
            </w:r>
          </w:p>
        </w:tc>
        <w:tc>
          <w:tcPr>
            <w:tcW w:type="dxa" w:w="7056"/>
          </w:tcPr>
          <w:p>
            <w:pPr>
              <w:spacing w:after="20"/>
            </w:pPr>
            <w:r/>
            <w:r>
              <w:rPr>
                <w:b w:val="0"/>
                <w:sz w:val="17"/>
              </w:rPr>
              <w:t>4</w:t>
            </w:r>
          </w:p>
        </w:tc>
      </w:tr>
      <w:tr>
        <w:trPr>
          <w:cantSplit/>
        </w:trPr>
        <w:tc>
          <w:tcPr>
            <w:tcW w:type="dxa" w:w="2880"/>
            <w:shd w:val="clear" w:fill="EEF4F8"/>
          </w:tcPr>
          <w:p>
            <w:pPr>
              <w:spacing w:after="20"/>
            </w:pPr>
            <w:r/>
            <w:r>
              <w:rPr>
                <w:b w:val="0"/>
                <w:sz w:val="17"/>
              </w:rPr>
              <w:t>Dimensions</w:t>
            </w:r>
          </w:p>
        </w:tc>
        <w:tc>
          <w:tcPr>
            <w:tcW w:type="dxa" w:w="7056"/>
            <w:shd w:val="clear" w:fill="EEF4F8"/>
          </w:tcPr>
          <w:p>
            <w:pPr>
              <w:spacing w:after="20"/>
            </w:pPr>
            <w:r/>
            <w:r>
              <w:rPr>
                <w:b w:val="0"/>
                <w:sz w:val="17"/>
              </w:rPr>
              <w:t>24</w:t>
            </w:r>
          </w:p>
        </w:tc>
      </w:tr>
      <w:tr>
        <w:trPr>
          <w:cantSplit/>
        </w:trPr>
        <w:tc>
          <w:tcPr>
            <w:tcW w:type="dxa" w:w="2880"/>
          </w:tcPr>
          <w:p>
            <w:pPr>
              <w:spacing w:after="20"/>
            </w:pPr>
            <w:r/>
            <w:r>
              <w:rPr>
                <w:b w:val="0"/>
                <w:sz w:val="17"/>
              </w:rPr>
              <w:t>Measures</w:t>
            </w:r>
          </w:p>
        </w:tc>
        <w:tc>
          <w:tcPr>
            <w:tcW w:type="dxa" w:w="7056"/>
          </w:tcPr>
          <w:p>
            <w:pPr>
              <w:spacing w:after="20"/>
            </w:pPr>
            <w:r/>
            <w:r>
              <w:rPr>
                <w:b w:val="0"/>
                <w:sz w:val="17"/>
              </w:rPr>
              <w:t>9</w:t>
            </w:r>
          </w:p>
        </w:tc>
      </w:tr>
      <w:tr>
        <w:trPr>
          <w:cantSplit/>
        </w:trPr>
        <w:tc>
          <w:tcPr>
            <w:tcW w:type="dxa" w:w="2880"/>
            <w:shd w:val="clear" w:fill="EEF4F8"/>
          </w:tcPr>
          <w:p>
            <w:pPr>
              <w:spacing w:after="20"/>
            </w:pPr>
            <w:r/>
            <w:r>
              <w:rPr>
                <w:b w:val="0"/>
                <w:sz w:val="17"/>
              </w:rPr>
              <w:t>Facts</w:t>
            </w:r>
          </w:p>
        </w:tc>
        <w:tc>
          <w:tcPr>
            <w:tcW w:type="dxa" w:w="7056"/>
            <w:shd w:val="clear" w:fill="EEF4F8"/>
          </w:tcPr>
          <w:p>
            <w:pPr>
              <w:spacing w:after="20"/>
            </w:pPr>
            <w:r/>
            <w:r>
              <w:rPr>
                <w:b w:val="0"/>
                <w:sz w:val="17"/>
              </w:rPr>
              <w:t>0</w:t>
            </w:r>
          </w:p>
        </w:tc>
      </w:tr>
      <w:tr>
        <w:trPr>
          <w:cantSplit/>
        </w:trPr>
        <w:tc>
          <w:tcPr>
            <w:tcW w:type="dxa" w:w="2880"/>
          </w:tcPr>
          <w:p>
            <w:pPr>
              <w:spacing w:after="20"/>
            </w:pPr>
            <w:r/>
            <w:r>
              <w:rPr>
                <w:b w:val="0"/>
                <w:sz w:val="17"/>
              </w:rPr>
              <w:t>Verified queries</w:t>
            </w:r>
          </w:p>
        </w:tc>
        <w:tc>
          <w:tcPr>
            <w:tcW w:type="dxa" w:w="7056"/>
          </w:tcPr>
          <w:p>
            <w:pPr>
              <w:spacing w:after="20"/>
            </w:pPr>
            <w:r/>
            <w:r>
              <w:rPr>
                <w:b/>
                <w:sz w:val="17"/>
              </w:rPr>
              <w:t>0</w:t>
            </w:r>
          </w:p>
        </w:tc>
      </w:tr>
    </w:tbl>
    <w:p>
      <w:pPr>
        <w:spacing w:after="80"/>
      </w:pPr>
    </w:p>
    <w:p>
      <w:pPr>
        <w:spacing w:after="120"/>
      </w:pPr>
      <w:r>
        <w:rPr>
          <w:b w:val="0"/>
          <w:i w:val="0"/>
          <w:sz w:val="20"/>
        </w:rPr>
        <w:t xml:space="preserve">Base tables: </w:t>
      </w:r>
      <w:r>
        <w:rPr>
          <w:rFonts w:ascii="Consolas" w:hAnsi="Consolas"/>
          <w:b w:val="0"/>
          <w:i w:val="0"/>
          <w:color w:val="1B5E8C"/>
          <w:sz w:val="19"/>
        </w:rPr>
        <w:t>ANALYTICS.DT_JOURNAL_ENTRY_360</w:t>
      </w:r>
      <w:r>
        <w:rPr>
          <w:b w:val="0"/>
          <w:i w:val="0"/>
          <w:sz w:val="20"/>
        </w:rPr>
        <w:t xml:space="preserve">, </w:t>
      </w:r>
      <w:r>
        <w:rPr>
          <w:rFonts w:ascii="Consolas" w:hAnsi="Consolas"/>
          <w:b w:val="0"/>
          <w:i w:val="0"/>
          <w:color w:val="1B5E8C"/>
          <w:sz w:val="19"/>
        </w:rPr>
        <w:t>ANALYTICS.DT_EXPENSE_BY_COSTCENTER</w:t>
      </w:r>
      <w:r>
        <w:rPr>
          <w:b w:val="0"/>
          <w:i w:val="0"/>
          <w:sz w:val="20"/>
        </w:rPr>
        <w:t xml:space="preserve">, </w:t>
      </w:r>
      <w:r>
        <w:rPr>
          <w:rFonts w:ascii="Consolas" w:hAnsi="Consolas"/>
          <w:b w:val="0"/>
          <w:i w:val="0"/>
          <w:color w:val="1B5E8C"/>
          <w:sz w:val="19"/>
        </w:rPr>
        <w:t>ANALYTICS.DT_REVENUE_BY_PROFITCENTER</w:t>
      </w:r>
      <w:r>
        <w:rPr>
          <w:b w:val="0"/>
          <w:i w:val="0"/>
          <w:sz w:val="20"/>
        </w:rPr>
        <w:t xml:space="preserve">, </w:t>
      </w:r>
      <w:r>
        <w:rPr>
          <w:rFonts w:ascii="Consolas" w:hAnsi="Consolas"/>
          <w:b w:val="0"/>
          <w:i w:val="0"/>
          <w:color w:val="1B5E8C"/>
          <w:sz w:val="19"/>
        </w:rPr>
        <w:t>ANALYTICS.DT_AR_AGING</w:t>
      </w:r>
      <w:r>
        <w:rPr>
          <w:b w:val="0"/>
          <w:i w:val="0"/>
          <w:sz w:val="20"/>
        </w:rPr>
        <w:t>.</w:t>
      </w:r>
    </w:p>
    <w:p>
      <w:pPr>
        <w:spacing w:after="120"/>
      </w:pPr>
      <w:r>
        <w:rPr>
          <w:b/>
          <w:i w:val="0"/>
          <w:sz w:val="20"/>
        </w:rPr>
        <w:t xml:space="preserve">The React app's </w:t>
      </w:r>
      <w:r>
        <w:rPr>
          <w:rFonts w:ascii="Consolas" w:hAnsi="Consolas"/>
          <w:b/>
          <w:i w:val="0"/>
          <w:color w:val="1B5E8C"/>
          <w:sz w:val="19"/>
        </w:rPr>
        <w:t>/api/analyst</w:t>
      </w:r>
      <w:r>
        <w:rPr>
          <w:b/>
          <w:i w:val="0"/>
          <w:sz w:val="20"/>
        </w:rPr>
        <w:t xml:space="preserve"> server route reads this file</w:t>
      </w:r>
      <w:r>
        <w:rPr>
          <w:b w:val="0"/>
          <w:i w:val="0"/>
          <w:sz w:val="20"/>
        </w:rPr>
        <w:t xml:space="preserve"> (no in-app page since the nav change; Ask Cortex does not use it). It does not read either semantic view.</w:t>
      </w:r>
    </w:p>
    <w:p>
      <w:pPr>
        <w:spacing w:after="120"/>
      </w:pPr>
      <w:r>
        <w:rPr>
          <w:b w:val="0"/>
          <w:i w:val="0"/>
          <w:sz w:val="20"/>
        </w:rPr>
        <w:t>This is stated in concepts (01-concepts.md), architecture (02-architecture.md#the-cortex-analyst-model-is-a-third-separate-artefact) and the analyst layer (07-analyst-and-agent.md), and it is repeated here because it is the one thing in this stack that was previously documented incorrectly. The symptom of believing otherwise is an edit that appears to do nothing: change a semantic view, reload the app, every answer identical.</w:t>
      </w:r>
    </w:p>
    <w:p>
      <w:pPr>
        <w:spacing w:after="120"/>
      </w:pPr>
      <w:r>
        <w:rPr>
          <w:b w:val="0"/>
          <w:i w:val="0"/>
          <w:sz w:val="20"/>
        </w:rPr>
        <w:t>Its coverage differs from both views again — a fourth distinct table set:</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L2 object</w:t>
            </w:r>
          </w:p>
        </w:tc>
        <w:tc>
          <w:tcPr>
            <w:tcW w:type="dxa" w:w="2484"/>
            <w:shd w:val="clear" w:fill="1B3A57"/>
          </w:tcPr>
          <w:p>
            <w:pPr>
              <w:spacing w:after="20"/>
            </w:pPr>
            <w:r/>
            <w:r>
              <w:rPr>
                <w:b/>
                <w:color w:val="FFFFFF"/>
                <w:sz w:val="17"/>
              </w:rPr>
              <w:t>ANALYTICS view</w:t>
            </w:r>
          </w:p>
        </w:tc>
        <w:tc>
          <w:tcPr>
            <w:tcW w:type="dxa" w:w="2484"/>
            <w:shd w:val="clear" w:fill="1B3A57"/>
          </w:tcPr>
          <w:p>
            <w:pPr>
              <w:spacing w:after="20"/>
            </w:pPr>
            <w:r/>
            <w:r>
              <w:rPr>
                <w:b/>
                <w:color w:val="FFFFFF"/>
                <w:sz w:val="17"/>
              </w:rPr>
              <w:t>SEMANTIC view</w:t>
            </w:r>
          </w:p>
        </w:tc>
        <w:tc>
          <w:tcPr>
            <w:tcW w:type="dxa" w:w="2484"/>
            <w:shd w:val="clear" w:fill="1B3A57"/>
          </w:tcPr>
          <w:p>
            <w:pPr>
              <w:spacing w:after="20"/>
            </w:pPr>
            <w:r/>
            <w:r>
              <w:rPr>
                <w:b/>
                <w:color w:val="FFFFFF"/>
                <w:sz w:val="17"/>
              </w:rPr>
              <w:t>Analyst model</w:t>
            </w:r>
          </w:p>
        </w:tc>
      </w:tr>
      <w:tr>
        <w:trPr>
          <w:cantSplit/>
        </w:trPr>
        <w:tc>
          <w:tcPr>
            <w:tcW w:type="dxa" w:w="2484"/>
          </w:tcPr>
          <w:p>
            <w:pPr>
              <w:spacing w:after="20"/>
            </w:pPr>
            <w:r/>
            <w:r>
              <w:rPr>
                <w:rFonts w:ascii="Consolas" w:hAnsi="Consolas"/>
                <w:b w:val="0"/>
                <w:color w:val="1B5E8C"/>
                <w:sz w:val="16"/>
              </w:rPr>
              <w:t>DT_JOURNAL_ENTRY_360</w:t>
            </w:r>
          </w:p>
        </w:tc>
        <w:tc>
          <w:tcPr>
            <w:tcW w:type="dxa" w:w="2484"/>
          </w:tcPr>
          <w:p>
            <w:pPr>
              <w:spacing w:after="20"/>
            </w:pPr>
            <w:r/>
            <w:r>
              <w:rPr>
                <w:b w:val="0"/>
                <w:sz w:val="17"/>
              </w:rPr>
              <w:t>yes</w:t>
            </w:r>
          </w:p>
        </w:tc>
        <w:tc>
          <w:tcPr>
            <w:tcW w:type="dxa" w:w="2484"/>
          </w:tcPr>
          <w:p>
            <w:pPr>
              <w:spacing w:after="20"/>
            </w:pPr>
            <w:r/>
            <w:r>
              <w:rPr>
                <w:b w:val="0"/>
                <w:sz w:val="17"/>
              </w:rPr>
              <w:t>yes</w:t>
            </w:r>
          </w:p>
        </w:tc>
        <w:tc>
          <w:tcPr>
            <w:tcW w:type="dxa" w:w="2484"/>
          </w:tcPr>
          <w:p>
            <w:pPr>
              <w:spacing w:after="20"/>
            </w:pPr>
            <w:r/>
            <w:r>
              <w:rPr>
                <w:b w:val="0"/>
                <w:sz w:val="17"/>
              </w:rPr>
              <w:t>yes</w:t>
            </w:r>
          </w:p>
        </w:tc>
      </w:tr>
      <w:tr>
        <w:trPr>
          <w:cantSplit/>
        </w:trPr>
        <w:tc>
          <w:tcPr>
            <w:tcW w:type="dxa" w:w="2484"/>
            <w:shd w:val="clear" w:fill="EEF4F8"/>
          </w:tcPr>
          <w:p>
            <w:pPr>
              <w:spacing w:after="20"/>
            </w:pPr>
            <w:r/>
            <w:r>
              <w:rPr>
                <w:rFonts w:ascii="Consolas" w:hAnsi="Consolas"/>
                <w:b w:val="0"/>
                <w:color w:val="1B5E8C"/>
                <w:sz w:val="16"/>
              </w:rPr>
              <w:t>DT_AR_AGING</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no</w:t>
            </w:r>
          </w:p>
        </w:tc>
        <w:tc>
          <w:tcPr>
            <w:tcW w:type="dxa" w:w="2484"/>
            <w:shd w:val="clear" w:fill="EEF4F8"/>
          </w:tcPr>
          <w:p>
            <w:pPr>
              <w:spacing w:after="20"/>
            </w:pPr>
            <w:r/>
            <w:r>
              <w:rPr>
                <w:b w:val="0"/>
                <w:sz w:val="17"/>
              </w:rPr>
              <w:t>yes</w:t>
            </w:r>
          </w:p>
        </w:tc>
      </w:tr>
      <w:tr>
        <w:trPr>
          <w:cantSplit/>
        </w:trPr>
        <w:tc>
          <w:tcPr>
            <w:tcW w:type="dxa" w:w="2484"/>
          </w:tcPr>
          <w:p>
            <w:pPr>
              <w:spacing w:after="20"/>
            </w:pPr>
            <w:r/>
            <w:r>
              <w:rPr>
                <w:rFonts w:ascii="Consolas" w:hAnsi="Consolas"/>
                <w:b w:val="0"/>
                <w:color w:val="1B5E8C"/>
                <w:sz w:val="16"/>
              </w:rPr>
              <w:t>DT_EXPENSE_BY_COSTCENTER</w:t>
            </w:r>
          </w:p>
        </w:tc>
        <w:tc>
          <w:tcPr>
            <w:tcW w:type="dxa" w:w="2484"/>
          </w:tcPr>
          <w:p>
            <w:pPr>
              <w:spacing w:after="20"/>
            </w:pPr>
            <w:r/>
            <w:r>
              <w:rPr>
                <w:b w:val="0"/>
                <w:sz w:val="17"/>
              </w:rPr>
              <w:t>yes</w:t>
            </w:r>
          </w:p>
        </w:tc>
        <w:tc>
          <w:tcPr>
            <w:tcW w:type="dxa" w:w="2484"/>
          </w:tcPr>
          <w:p>
            <w:pPr>
              <w:spacing w:after="20"/>
            </w:pPr>
            <w:r/>
            <w:r>
              <w:rPr>
                <w:b w:val="0"/>
                <w:sz w:val="17"/>
              </w:rPr>
              <w:t>yes</w:t>
            </w:r>
          </w:p>
        </w:tc>
        <w:tc>
          <w:tcPr>
            <w:tcW w:type="dxa" w:w="2484"/>
          </w:tcPr>
          <w:p>
            <w:pPr>
              <w:spacing w:after="20"/>
            </w:pPr>
            <w:r/>
            <w:r>
              <w:rPr>
                <w:b w:val="0"/>
                <w:sz w:val="17"/>
              </w:rPr>
              <w:t>yes</w:t>
            </w:r>
          </w:p>
        </w:tc>
      </w:tr>
      <w:tr>
        <w:trPr>
          <w:cantSplit/>
        </w:trPr>
        <w:tc>
          <w:tcPr>
            <w:tcW w:type="dxa" w:w="2484"/>
            <w:shd w:val="clear" w:fill="EEF4F8"/>
          </w:tcPr>
          <w:p>
            <w:pPr>
              <w:spacing w:after="20"/>
            </w:pPr>
            <w:r/>
            <w:r>
              <w:rPr>
                <w:rFonts w:ascii="Consolas" w:hAnsi="Consolas"/>
                <w:b w:val="0"/>
                <w:color w:val="1B5E8C"/>
                <w:sz w:val="16"/>
              </w:rPr>
              <w:t>DT_REVENUE_BY_PROFITCENTER</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yes</w:t>
            </w:r>
          </w:p>
        </w:tc>
      </w:tr>
      <w:tr>
        <w:trPr>
          <w:cantSplit/>
        </w:trPr>
        <w:tc>
          <w:tcPr>
            <w:tcW w:type="dxa" w:w="2484"/>
          </w:tcPr>
          <w:p>
            <w:pPr>
              <w:spacing w:after="20"/>
            </w:pPr>
            <w:r/>
            <w:r>
              <w:rPr>
                <w:rFonts w:ascii="Consolas" w:hAnsi="Consolas"/>
                <w:b w:val="0"/>
                <w:color w:val="1B5E8C"/>
                <w:sz w:val="16"/>
              </w:rPr>
              <w:t>DT_AP_AGING</w:t>
            </w:r>
          </w:p>
        </w:tc>
        <w:tc>
          <w:tcPr>
            <w:tcW w:type="dxa" w:w="2484"/>
          </w:tcPr>
          <w:p>
            <w:pPr>
              <w:spacing w:after="20"/>
            </w:pPr>
            <w:r/>
            <w:r>
              <w:rPr>
                <w:b w:val="0"/>
                <w:sz w:val="17"/>
              </w:rPr>
              <w:t>no</w:t>
            </w:r>
          </w:p>
        </w:tc>
        <w:tc>
          <w:tcPr>
            <w:tcW w:type="dxa" w:w="2484"/>
          </w:tcPr>
          <w:p>
            <w:pPr>
              <w:spacing w:after="20"/>
            </w:pPr>
            <w:r/>
            <w:r>
              <w:rPr>
                <w:b w:val="0"/>
                <w:sz w:val="17"/>
              </w:rPr>
              <w:t>yes</w:t>
            </w:r>
          </w:p>
        </w:tc>
        <w:tc>
          <w:tcPr>
            <w:tcW w:type="dxa" w:w="2484"/>
          </w:tcPr>
          <w:p>
            <w:pPr>
              <w:spacing w:after="20"/>
            </w:pPr>
            <w:r/>
            <w:r>
              <w:rPr>
                <w:b w:val="0"/>
                <w:sz w:val="17"/>
              </w:rPr>
              <w:t>no</w:t>
            </w:r>
          </w:p>
        </w:tc>
      </w:tr>
      <w:tr>
        <w:trPr>
          <w:cantSplit/>
        </w:trPr>
        <w:tc>
          <w:tcPr>
            <w:tcW w:type="dxa" w:w="2484"/>
            <w:shd w:val="clear" w:fill="EEF4F8"/>
          </w:tcPr>
          <w:p>
            <w:pPr>
              <w:spacing w:after="20"/>
            </w:pPr>
            <w:r/>
            <w:r>
              <w:rPr>
                <w:rFonts w:ascii="Consolas" w:hAnsi="Consolas"/>
                <w:b w:val="0"/>
                <w:color w:val="1B5E8C"/>
                <w:sz w:val="16"/>
              </w:rPr>
              <w:t>DT_PNL_SUMMARY</w:t>
            </w:r>
          </w:p>
        </w:tc>
        <w:tc>
          <w:tcPr>
            <w:tcW w:type="dxa" w:w="2484"/>
            <w:shd w:val="clear" w:fill="EEF4F8"/>
          </w:tcPr>
          <w:p>
            <w:pPr>
              <w:spacing w:after="20"/>
            </w:pPr>
            <w:r/>
            <w:r>
              <w:rPr>
                <w:b w:val="0"/>
                <w:sz w:val="17"/>
              </w:rPr>
              <w:t>no</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no</w:t>
            </w:r>
          </w:p>
        </w:tc>
      </w:tr>
      <w:tr>
        <w:trPr>
          <w:cantSplit/>
        </w:trPr>
        <w:tc>
          <w:tcPr>
            <w:tcW w:type="dxa" w:w="2484"/>
          </w:tcPr>
          <w:p>
            <w:pPr>
              <w:spacing w:after="20"/>
            </w:pPr>
            <w:r/>
            <w:r>
              <w:rPr>
                <w:rFonts w:ascii="Consolas" w:hAnsi="Consolas"/>
                <w:b w:val="0"/>
                <w:color w:val="1B5E8C"/>
                <w:sz w:val="16"/>
              </w:rPr>
              <w:t>DT_GL_BALANCE</w:t>
            </w:r>
          </w:p>
        </w:tc>
        <w:tc>
          <w:tcPr>
            <w:tcW w:type="dxa" w:w="2484"/>
          </w:tcPr>
          <w:p>
            <w:pPr>
              <w:spacing w:after="20"/>
            </w:pPr>
            <w:r/>
            <w:r>
              <w:rPr>
                <w:b w:val="0"/>
                <w:sz w:val="17"/>
              </w:rPr>
              <w:t>no</w:t>
            </w:r>
          </w:p>
        </w:tc>
        <w:tc>
          <w:tcPr>
            <w:tcW w:type="dxa" w:w="2484"/>
          </w:tcPr>
          <w:p>
            <w:pPr>
              <w:spacing w:after="20"/>
            </w:pPr>
            <w:r/>
            <w:r>
              <w:rPr>
                <w:b w:val="0"/>
                <w:sz w:val="17"/>
              </w:rPr>
              <w:t>no</w:t>
            </w:r>
          </w:p>
        </w:tc>
        <w:tc>
          <w:tcPr>
            <w:tcW w:type="dxa" w:w="2484"/>
          </w:tcPr>
          <w:p>
            <w:pPr>
              <w:spacing w:after="20"/>
            </w:pPr>
            <w:r/>
            <w:r>
              <w:rPr>
                <w:b w:val="0"/>
                <w:sz w:val="17"/>
              </w:rPr>
              <w:t>no</w:t>
            </w:r>
          </w:p>
        </w:tc>
      </w:tr>
    </w:tbl>
    <w:p>
      <w:pPr>
        <w:spacing w:after="80"/>
      </w:pPr>
    </w:p>
    <w:p>
      <w:pPr>
        <w:spacing w:after="120"/>
      </w:pPr>
      <w:r>
        <w:rPr>
          <w:b w:val="0"/>
          <w:i w:val="0"/>
          <w:sz w:val="20"/>
        </w:rPr>
        <w:t xml:space="preserve">Three artefacts, three different table sets, and only </w:t>
      </w:r>
      <w:r>
        <w:rPr>
          <w:rFonts w:ascii="Consolas" w:hAnsi="Consolas"/>
          <w:b w:val="0"/>
          <w:i w:val="0"/>
          <w:color w:val="1B5E8C"/>
          <w:sz w:val="19"/>
        </w:rPr>
        <w:t>DT_JOURNAL_ENTRY_360</w:t>
      </w:r>
      <w:r>
        <w:rPr>
          <w:b w:val="0"/>
          <w:i w:val="0"/>
          <w:sz w:val="20"/>
        </w:rPr>
        <w:t xml:space="preserve">, </w:t>
      </w:r>
      <w:r>
        <w:rPr>
          <w:rFonts w:ascii="Consolas" w:hAnsi="Consolas"/>
          <w:b w:val="0"/>
          <w:i w:val="0"/>
          <w:color w:val="1B5E8C"/>
          <w:sz w:val="19"/>
        </w:rPr>
        <w:t>DT_EXPENSE_BY_COSTCENTER</w:t>
      </w:r>
      <w:r>
        <w:rPr>
          <w:b w:val="0"/>
          <w:i w:val="0"/>
          <w:sz w:val="20"/>
        </w:rPr>
        <w:t xml:space="preserve"> and </w:t>
      </w:r>
      <w:r>
        <w:rPr>
          <w:rFonts w:ascii="Consolas" w:hAnsi="Consolas"/>
          <w:b w:val="0"/>
          <w:i w:val="0"/>
          <w:color w:val="1B5E8C"/>
          <w:sz w:val="19"/>
        </w:rPr>
        <w:t>DT_REVENUE_BY_PROFITCENTER</w:t>
      </w:r>
      <w:r>
        <w:rPr>
          <w:b w:val="0"/>
          <w:i w:val="0"/>
          <w:sz w:val="20"/>
        </w:rPr>
        <w:t xml:space="preserve"> are in all three. </w:t>
      </w:r>
      <w:r>
        <w:rPr>
          <w:rFonts w:ascii="Consolas" w:hAnsi="Consolas"/>
          <w:b w:val="0"/>
          <w:i w:val="0"/>
          <w:color w:val="1B5E8C"/>
          <w:sz w:val="19"/>
        </w:rPr>
        <w:t>DT_GL_BALANCE</w:t>
      </w:r>
      <w:r>
        <w:rPr>
          <w:b w:val="0"/>
          <w:i w:val="0"/>
          <w:sz w:val="20"/>
        </w:rPr>
        <w:t xml:space="preserve"> is in none.</w:t>
      </w:r>
    </w:p>
    <w:p>
      <w:pPr>
        <w:spacing w:after="120"/>
      </w:pPr>
      <w:r>
        <w:rPr>
          <w:rFonts w:ascii="Consolas" w:hAnsi="Consolas"/>
          <w:b w:val="0"/>
          <w:i w:val="0"/>
          <w:color w:val="1B5E8C"/>
          <w:sz w:val="19"/>
        </w:rPr>
        <w:t>DT_AR_AGING</w:t>
      </w:r>
      <w:r>
        <w:rPr>
          <w:b w:val="0"/>
          <w:i w:val="0"/>
          <w:sz w:val="20"/>
        </w:rPr>
        <w:t xml:space="preserve"> appears in the </w:t>
      </w:r>
      <w:r>
        <w:rPr>
          <w:rFonts w:ascii="Consolas" w:hAnsi="Consolas"/>
          <w:b w:val="0"/>
          <w:i w:val="0"/>
          <w:color w:val="1B5E8C"/>
          <w:sz w:val="19"/>
        </w:rPr>
        <w:t>ANALYTICS</w:t>
      </w:r>
      <w:r>
        <w:rPr>
          <w:b w:val="0"/>
          <w:i w:val="0"/>
          <w:sz w:val="20"/>
        </w:rPr>
        <w:t xml:space="preserve"> view and in the Analyst model but not in the </w:t>
      </w:r>
      <w:r>
        <w:rPr>
          <w:rFonts w:ascii="Consolas" w:hAnsi="Consolas"/>
          <w:b w:val="0"/>
          <w:i w:val="0"/>
          <w:color w:val="1B5E8C"/>
          <w:sz w:val="19"/>
        </w:rPr>
        <w:t>SEMANTIC</w:t>
      </w:r>
      <w:r>
        <w:rPr>
          <w:b w:val="0"/>
          <w:i w:val="0"/>
          <w:sz w:val="20"/>
        </w:rPr>
        <w:t xml:space="preserve"> view; </w:t>
      </w:r>
      <w:r>
        <w:rPr>
          <w:rFonts w:ascii="Consolas" w:hAnsi="Consolas"/>
          <w:b w:val="0"/>
          <w:i w:val="0"/>
          <w:color w:val="1B5E8C"/>
          <w:sz w:val="19"/>
        </w:rPr>
        <w:t>DT_AP_AGING</w:t>
      </w:r>
      <w:r>
        <w:rPr>
          <w:b w:val="0"/>
          <w:i w:val="0"/>
          <w:sz w:val="20"/>
        </w:rPr>
        <w:t xml:space="preserve"> and </w:t>
      </w:r>
      <w:r>
        <w:rPr>
          <w:rFonts w:ascii="Consolas" w:hAnsi="Consolas"/>
          <w:b w:val="0"/>
          <w:i w:val="0"/>
          <w:color w:val="1B5E8C"/>
          <w:sz w:val="19"/>
        </w:rPr>
        <w:t>DT_PNL_SUMMARY</w:t>
      </w:r>
      <w:r>
        <w:rPr>
          <w:b w:val="0"/>
          <w:i w:val="0"/>
          <w:sz w:val="20"/>
        </w:rPr>
        <w:t xml:space="preserve"> appear only in the </w:t>
      </w:r>
      <w:r>
        <w:rPr>
          <w:rFonts w:ascii="Consolas" w:hAnsi="Consolas"/>
          <w:b w:val="0"/>
          <w:i w:val="0"/>
          <w:color w:val="1B5E8C"/>
          <w:sz w:val="19"/>
        </w:rPr>
        <w:t>SEMANTIC</w:t>
      </w:r>
      <w:r>
        <w:rPr>
          <w:b w:val="0"/>
          <w:i w:val="0"/>
          <w:sz w:val="20"/>
        </w:rPr>
        <w:t xml:space="preserve"> view. There is no principle behind that distribution — it is three independent editing histories.</w:t>
      </w:r>
    </w:p>
    <w:p>
      <w:pPr>
        <w:spacing w:before="80" w:after="160"/>
        <w:jc w:val="center"/>
      </w:pPr>
      <w:r>
        <w:rPr>
          <w:color w:val="C8D4DE"/>
          <w:sz w:val="12"/>
        </w:rPr>
        <w:t>──────────────────────────────────────────────────────────</w:t>
      </w:r>
    </w:p>
    <w:p>
      <w:pPr>
        <w:keepNext/>
        <w:spacing w:before="240" w:after="60"/>
        <w:outlineLvl w:val="1"/>
      </w:pPr>
      <w:r>
        <w:rPr>
          <w:b/>
          <w:color w:val="1B3A57"/>
          <w:sz w:val="23"/>
        </w:rPr>
        <w:t>Which artefact to edit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Wrong behaviour</w:t>
            </w:r>
          </w:p>
        </w:tc>
        <w:tc>
          <w:tcPr>
            <w:tcW w:type="dxa" w:w="7056"/>
            <w:shd w:val="clear" w:fill="1B3A57"/>
          </w:tcPr>
          <w:p>
            <w:pPr>
              <w:spacing w:after="20"/>
            </w:pPr>
            <w:r/>
            <w:r>
              <w:rPr>
                <w:b/>
                <w:color w:val="FFFFFF"/>
                <w:sz w:val="17"/>
              </w:rPr>
              <w:t>Edit</w:t>
            </w:r>
          </w:p>
        </w:tc>
      </w:tr>
      <w:tr>
        <w:trPr>
          <w:cantSplit/>
        </w:trPr>
        <w:tc>
          <w:tcPr>
            <w:tcW w:type="dxa" w:w="2880"/>
          </w:tcPr>
          <w:p>
            <w:pPr>
              <w:spacing w:after="20"/>
            </w:pPr>
            <w:r/>
            <w:r>
              <w:rPr>
                <w:b w:val="0"/>
                <w:sz w:val="17"/>
              </w:rPr>
              <w:t xml:space="preserve">App </w:t>
            </w:r>
            <w:r>
              <w:rPr>
                <w:rFonts w:ascii="Consolas" w:hAnsi="Consolas"/>
                <w:b w:val="0"/>
                <w:color w:val="1B5E8C"/>
                <w:sz w:val="16"/>
              </w:rPr>
              <w:t>/api/analyst</w:t>
            </w:r>
            <w:r>
              <w:rPr>
                <w:b w:val="0"/>
                <w:sz w:val="17"/>
              </w:rPr>
              <w:t xml:space="preserve"> route gives a bad answer</w:t>
            </w:r>
          </w:p>
        </w:tc>
        <w:tc>
          <w:tcPr>
            <w:tcW w:type="dxa" w:w="7056"/>
          </w:tcPr>
          <w:p>
            <w:pPr>
              <w:spacing w:after="20"/>
            </w:pPr>
            <w:r/>
            <w:r>
              <w:rPr>
                <w:b w:val="0"/>
                <w:sz w:val="17"/>
              </w:rPr>
              <w:t>the stage YAML</w:t>
            </w:r>
          </w:p>
        </w:tc>
      </w:tr>
      <w:tr>
        <w:trPr>
          <w:cantSplit/>
        </w:trPr>
        <w:tc>
          <w:tcPr>
            <w:tcW w:type="dxa" w:w="2880"/>
            <w:shd w:val="clear" w:fill="EEF4F8"/>
          </w:tcPr>
          <w:p>
            <w:pPr>
              <w:spacing w:after="20"/>
            </w:pPr>
            <w:r/>
            <w:r>
              <w:rPr>
                <w:b w:val="0"/>
                <w:sz w:val="17"/>
              </w:rPr>
              <w:t xml:space="preserve">App </w:t>
            </w:r>
            <w:r>
              <w:rPr>
                <w:rFonts w:ascii="Consolas" w:hAnsi="Consolas"/>
                <w:b w:val="0"/>
                <w:color w:val="1B5E8C"/>
                <w:sz w:val="16"/>
              </w:rPr>
              <w:t>/api/analyst</w:t>
            </w:r>
            <w:r>
              <w:rPr>
                <w:b w:val="0"/>
                <w:sz w:val="17"/>
              </w:rPr>
              <w:t xml:space="preserve"> route cannot answer at all</w:t>
            </w:r>
          </w:p>
        </w:tc>
        <w:tc>
          <w:tcPr>
            <w:tcW w:type="dxa" w:w="7056"/>
            <w:shd w:val="clear" w:fill="EEF4F8"/>
          </w:tcPr>
          <w:p>
            <w:pPr>
              <w:spacing w:after="20"/>
            </w:pPr>
            <w:r/>
            <w:r>
              <w:rPr>
                <w:b w:val="0"/>
                <w:sz w:val="17"/>
              </w:rPr>
              <w:t>the stage YAML — likely a missing base table</w:t>
            </w:r>
          </w:p>
        </w:tc>
      </w:tr>
      <w:tr>
        <w:trPr>
          <w:cantSplit/>
        </w:trPr>
        <w:tc>
          <w:tcPr>
            <w:tcW w:type="dxa" w:w="2880"/>
          </w:tcPr>
          <w:p>
            <w:pPr>
              <w:spacing w:after="20"/>
            </w:pPr>
            <w:r/>
            <w:r>
              <w:rPr>
                <w:rFonts w:ascii="Consolas" w:hAnsi="Consolas"/>
                <w:b w:val="0"/>
                <w:color w:val="1B5E8C"/>
                <w:sz w:val="16"/>
              </w:rPr>
              <w:t>SAP_FINANCE_360_AGENT</w:t>
            </w:r>
            <w:r>
              <w:rPr>
                <w:b w:val="0"/>
                <w:sz w:val="17"/>
              </w:rPr>
              <w:t xml:space="preserve"> gives a bad answer</w:t>
            </w:r>
          </w:p>
        </w:tc>
        <w:tc>
          <w:tcPr>
            <w:tcW w:type="dxa" w:w="7056"/>
          </w:tcPr>
          <w:p>
            <w:pPr>
              <w:spacing w:after="20"/>
            </w:pPr>
            <w:r/>
            <w:r>
              <w:rPr>
                <w:b w:val="0"/>
                <w:sz w:val="17"/>
              </w:rPr>
              <w:t>the semantic view the agent is bound to</w:t>
            </w:r>
          </w:p>
        </w:tc>
      </w:tr>
      <w:tr>
        <w:trPr>
          <w:cantSplit/>
        </w:trPr>
        <w:tc>
          <w:tcPr>
            <w:tcW w:type="dxa" w:w="2880"/>
            <w:shd w:val="clear" w:fill="EEF4F8"/>
          </w:tcPr>
          <w:p>
            <w:pPr>
              <w:spacing w:after="20"/>
            </w:pPr>
            <w:r/>
            <w:r>
              <w:rPr>
                <w:b w:val="0"/>
                <w:sz w:val="17"/>
              </w:rPr>
              <w:t xml:space="preserve">A </w:t>
            </w:r>
            <w:r>
              <w:rPr>
                <w:rFonts w:ascii="Consolas" w:hAnsi="Consolas"/>
                <w:b w:val="0"/>
                <w:color w:val="1B5E8C"/>
                <w:sz w:val="16"/>
              </w:rPr>
              <w:t>SEMANTIC_VIEW(...)</w:t>
            </w:r>
            <w:r>
              <w:rPr>
                <w:b w:val="0"/>
                <w:sz w:val="17"/>
              </w:rPr>
              <w:t xml:space="preserve"> query is wrong</w:t>
            </w:r>
          </w:p>
        </w:tc>
        <w:tc>
          <w:tcPr>
            <w:tcW w:type="dxa" w:w="7056"/>
            <w:shd w:val="clear" w:fill="EEF4F8"/>
          </w:tcPr>
          <w:p>
            <w:pPr>
              <w:spacing w:after="20"/>
            </w:pPr>
            <w:r/>
            <w:r>
              <w:rPr>
                <w:b w:val="0"/>
                <w:sz w:val="17"/>
              </w:rPr>
              <w:t>the view named in that query</w:t>
            </w:r>
          </w:p>
        </w:tc>
      </w:tr>
      <w:tr>
        <w:trPr>
          <w:cantSplit/>
        </w:trPr>
        <w:tc>
          <w:tcPr>
            <w:tcW w:type="dxa" w:w="2880"/>
          </w:tcPr>
          <w:p>
            <w:pPr>
              <w:spacing w:after="20"/>
            </w:pPr>
            <w:r/>
            <w:r>
              <w:rPr>
                <w:b w:val="0"/>
                <w:sz w:val="17"/>
              </w:rPr>
              <w:t>A metric definition is wrong</w:t>
            </w:r>
          </w:p>
        </w:tc>
        <w:tc>
          <w:tcPr>
            <w:tcW w:type="dxa" w:w="7056"/>
          </w:tcPr>
          <w:p>
            <w:pPr>
              <w:spacing w:after="20"/>
            </w:pPr>
            <w:r/>
            <w:r>
              <w:rPr>
                <w:rFonts w:ascii="Consolas" w:hAnsi="Consolas"/>
                <w:b w:val="0"/>
                <w:color w:val="1B5E8C"/>
                <w:sz w:val="16"/>
              </w:rPr>
              <w:t>ANALYTICS.SAP_FINANCE_360</w:t>
            </w:r>
            <w:r>
              <w:rPr>
                <w:b w:val="0"/>
                <w:sz w:val="17"/>
              </w:rPr>
              <w:t xml:space="preserve"> — it holds all 45</w:t>
            </w:r>
          </w:p>
        </w:tc>
      </w:tr>
      <w:tr>
        <w:trPr>
          <w:cantSplit/>
        </w:trPr>
        <w:tc>
          <w:tcPr>
            <w:tcW w:type="dxa" w:w="2880"/>
            <w:shd w:val="clear" w:fill="EEF4F8"/>
          </w:tcPr>
          <w:p>
            <w:pPr>
              <w:spacing w:after="20"/>
            </w:pPr>
            <w:r/>
            <w:r>
              <w:rPr>
                <w:b w:val="0"/>
                <w:sz w:val="17"/>
              </w:rPr>
              <w:t>A join is missing</w:t>
            </w:r>
          </w:p>
        </w:tc>
        <w:tc>
          <w:tcPr>
            <w:tcW w:type="dxa" w:w="7056"/>
            <w:shd w:val="clear" w:fill="EEF4F8"/>
          </w:tcPr>
          <w:p>
            <w:pPr>
              <w:spacing w:after="20"/>
            </w:pPr>
            <w:r/>
            <w:r>
              <w:rPr>
                <w:rFonts w:ascii="Consolas" w:hAnsi="Consolas"/>
                <w:b w:val="0"/>
                <w:color w:val="1B5E8C"/>
                <w:sz w:val="16"/>
              </w:rPr>
              <w:t>SEMANTIC.SAP_FINANCE_360_ANALYTICS</w:t>
            </w:r>
            <w:r>
              <w:rPr>
                <w:b w:val="0"/>
                <w:sz w:val="17"/>
              </w:rPr>
              <w:t xml:space="preserve"> — it holds all 12 relationships</w:t>
            </w:r>
          </w:p>
        </w:tc>
      </w:tr>
    </w:tbl>
    <w:p>
      <w:pPr>
        <w:spacing w:after="80"/>
      </w:pPr>
    </w:p>
    <w:p>
      <w:pPr>
        <w:spacing w:after="120"/>
      </w:pPr>
      <w:r>
        <w:rPr>
          <w:b w:val="0"/>
          <w:i w:val="0"/>
          <w:sz w:val="20"/>
        </w:rPr>
        <w:t>Editing the stage file:</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get @SAP_FINANCE_360.SEMANTIC.SEMANTIC_MODELS/finance_360.semantic.yaml</w:t>
            </w:r>
          </w:p>
          <w:p>
            <w:pPr>
              <w:spacing w:after="0" w:line="240" w:lineRule="auto"/>
            </w:pPr>
            <w:r>
              <w:rPr>
                <w:rFonts w:ascii="Consolas" w:hAnsi="Consolas"/>
                <w:color w:val="223344"/>
                <w:sz w:val="16"/>
              </w:rPr>
              <w:t xml:space="preserve">    file:///tmp/;</w:t>
            </w:r>
          </w:p>
          <w:p>
            <w:pPr>
              <w:spacing w:after="0" w:line="240" w:lineRule="auto"/>
            </w:pPr>
            <w:r>
              <w:rPr>
                <w:rFonts w:ascii="Consolas" w:hAnsi="Consolas"/>
                <w:color w:val="223344"/>
                <w:sz w:val="16"/>
              </w:rPr>
              <w:t>-- edit /tmp/finance_360.semantic.yaml</w:t>
            </w:r>
          </w:p>
          <w:p>
            <w:pPr>
              <w:spacing w:after="0" w:line="240" w:lineRule="auto"/>
            </w:pPr>
            <w:r>
              <w:rPr>
                <w:rFonts w:ascii="Consolas" w:hAnsi="Consolas"/>
                <w:color w:val="223344"/>
                <w:sz w:val="16"/>
              </w:rPr>
              <w:t>put file:///tmp/finance_360.semantic.yaml</w:t>
            </w:r>
          </w:p>
          <w:p>
            <w:pPr>
              <w:spacing w:after="0" w:line="240" w:lineRule="auto"/>
            </w:pPr>
            <w:r>
              <w:rPr>
                <w:rFonts w:ascii="Consolas" w:hAnsi="Consolas"/>
                <w:color w:val="223344"/>
                <w:sz w:val="16"/>
              </w:rPr>
              <w:t xml:space="preserve">    @SAP_FINANCE_360.SEMANTIC.SEMANTIC_MODELS/ overwrite = true auto_compress = false;</w:t>
            </w:r>
          </w:p>
        </w:tc>
      </w:tr>
    </w:tbl>
    <w:p>
      <w:pPr>
        <w:spacing w:after="80"/>
      </w:pPr>
    </w:p>
    <w:p>
      <w:pPr>
        <w:spacing w:after="120"/>
      </w:pPr>
      <w:r>
        <w:rPr>
          <w:rFonts w:ascii="Consolas" w:hAnsi="Consolas"/>
          <w:b w:val="0"/>
          <w:i w:val="0"/>
          <w:color w:val="1B5E8C"/>
          <w:sz w:val="19"/>
        </w:rPr>
        <w:t>auto_compress = false</w:t>
      </w:r>
      <w:r>
        <w:rPr>
          <w:b w:val="0"/>
          <w:i w:val="0"/>
          <w:sz w:val="20"/>
        </w:rPr>
        <w:t xml:space="preserve"> is required. Cortex Analyst reads the YAML as a file; a gzipped upload is not readable, and the failure is unhelpful.</w:t>
      </w:r>
    </w:p>
    <w:p>
      <w:pPr>
        <w:spacing w:before="80" w:after="160"/>
        <w:jc w:val="center"/>
      </w:pPr>
      <w:r>
        <w:rPr>
          <w:color w:val="C8D4DE"/>
          <w:sz w:val="12"/>
        </w:rPr>
        <w:t>──────────────────────────────────────────────────────────</w:t>
      </w:r>
    </w:p>
    <w:p>
      <w:pPr>
        <w:keepNext/>
        <w:spacing w:before="240" w:after="60"/>
        <w:outlineLvl w:val="1"/>
      </w:pPr>
      <w:r>
        <w:rPr>
          <w:b/>
          <w:color w:val="1B3A57"/>
          <w:sz w:val="23"/>
        </w:rPr>
        <w:t>What the semantic layer must encode about this data</w:t>
      </w:r>
    </w:p>
    <w:p>
      <w:pPr>
        <w:spacing w:after="120"/>
      </w:pPr>
      <w:r>
        <w:rPr>
          <w:b w:val="0"/>
          <w:i w:val="0"/>
          <w:sz w:val="20"/>
        </w:rPr>
        <w:t>Whichever artefact you extend, three properties of the source have to be carried into the model. None of them is discoverable from a column name.</w:t>
      </w:r>
    </w:p>
    <w:p>
      <w:pPr>
        <w:keepNext/>
        <w:spacing w:before="160" w:after="40"/>
        <w:outlineLvl w:val="2"/>
      </w:pPr>
      <w:r>
        <w:rPr>
          <w:b/>
          <w:color w:val="29B5E8"/>
          <w:sz w:val="20"/>
        </w:rPr>
        <w:t>1. Signed amounts</w:t>
      </w:r>
    </w:p>
    <w:p>
      <w:pPr>
        <w:spacing w:after="120"/>
      </w:pPr>
      <w:r>
        <w:rPr>
          <w:b w:val="0"/>
          <w:i w:val="0"/>
          <w:sz w:val="20"/>
        </w:rPr>
        <w:t xml:space="preserve">Amounts in </w:t>
      </w:r>
      <w:r>
        <w:rPr>
          <w:rFonts w:ascii="Consolas" w:hAnsi="Consolas"/>
          <w:b w:val="0"/>
          <w:i w:val="0"/>
          <w:color w:val="1B5E8C"/>
          <w:sz w:val="19"/>
        </w:rPr>
        <w:t>OPERATIONALACCTGDOCITEM</w:t>
      </w:r>
      <w:r>
        <w:rPr>
          <w:b w:val="0"/>
          <w:i w:val="0"/>
          <w:sz w:val="20"/>
        </w:rPr>
        <w:t xml:space="preserve"> carry the posting's natural sign, with the debit/credit character in </w:t>
      </w:r>
      <w:r>
        <w:rPr>
          <w:rFonts w:ascii="Consolas" w:hAnsi="Consolas"/>
          <w:b w:val="0"/>
          <w:i w:val="0"/>
          <w:color w:val="1B5E8C"/>
          <w:sz w:val="19"/>
        </w:rPr>
        <w:t>DEBITCREDITCODE</w:t>
      </w:r>
      <w:r>
        <w:rPr>
          <w:b w:val="0"/>
          <w:i w:val="0"/>
          <w:sz w:val="20"/>
        </w:rPr>
        <w:t xml:space="preserve">. Correct aggregation needs </w:t>
      </w:r>
      <w:r>
        <w:rPr>
          <w:rFonts w:ascii="Consolas" w:hAnsi="Consolas"/>
          <w:b/>
          <w:i w:val="0"/>
          <w:color w:val="1B5E8C"/>
          <w:sz w:val="19"/>
        </w:rPr>
        <w:t>ABS</w:t>
      </w:r>
      <w:r>
        <w:rPr>
          <w:b/>
          <w:i w:val="0"/>
          <w:sz w:val="20"/>
        </w:rPr>
        <w:t xml:space="preserve"> plus a </w:t>
      </w:r>
      <w:r>
        <w:rPr>
          <w:rFonts w:ascii="Consolas" w:hAnsi="Consolas"/>
          <w:b/>
          <w:i w:val="0"/>
          <w:color w:val="1B5E8C"/>
          <w:sz w:val="19"/>
        </w:rPr>
        <w:t>DEBITCREDITCODE</w:t>
      </w:r>
      <w:r>
        <w:rPr>
          <w:b/>
          <w:i w:val="0"/>
          <w:sz w:val="20"/>
        </w:rPr>
        <w:t xml:space="preserve"> filter</w:t>
      </w:r>
      <w:r>
        <w:rPr>
          <w:b w:val="0"/>
          <w:i w:val="0"/>
          <w:sz w:val="20"/>
        </w:rPr>
        <w:t>.</w:t>
      </w:r>
    </w:p>
    <w:p>
      <w:pPr>
        <w:spacing w:after="120"/>
      </w:pPr>
      <w:r>
        <w:rPr>
          <w:b w:val="0"/>
          <w:i w:val="0"/>
          <w:sz w:val="20"/>
        </w:rPr>
        <w:t xml:space="preserve">L2 encodes this inside </w:t>
      </w:r>
      <w:r>
        <w:rPr>
          <w:rFonts w:ascii="Consolas" w:hAnsi="Consolas"/>
          <w:b w:val="0"/>
          <w:i w:val="0"/>
          <w:color w:val="1B5E8C"/>
          <w:sz w:val="19"/>
        </w:rPr>
        <w:t>DT_JOURNAL_ENTRY_360</w:t>
      </w:r>
      <w:r>
        <w:rPr>
          <w:b w:val="0"/>
          <w:i w:val="0"/>
          <w:sz w:val="20"/>
        </w:rPr>
        <w:t>, so a measure defined over L2 inherits it. A measure defined over L0 does not, and any hand-written SQL against the shares does not.</w:t>
      </w:r>
    </w:p>
    <w:p>
      <w:pPr>
        <w:spacing w:after="120"/>
      </w:pPr>
      <w:r>
        <w:rPr>
          <w:b w:val="0"/>
          <w:i w:val="0"/>
          <w:sz w:val="20"/>
        </w:rPr>
        <w:t xml:space="preserve">The reconciliation that proves L2 gets it right: L0 with </w:t>
      </w:r>
      <w:r>
        <w:rPr>
          <w:rFonts w:ascii="Consolas" w:hAnsi="Consolas"/>
          <w:b w:val="0"/>
          <w:i w:val="0"/>
          <w:color w:val="1B5E8C"/>
          <w:sz w:val="19"/>
        </w:rPr>
        <w:t>ABS</w:t>
      </w:r>
      <w:r>
        <w:rPr>
          <w:b w:val="0"/>
          <w:i w:val="0"/>
          <w:sz w:val="20"/>
        </w:rPr>
        <w:t xml:space="preserve"> and the filter gives $2,250,872,386, and </w:t>
      </w:r>
      <w:r>
        <w:rPr>
          <w:rFonts w:ascii="Consolas" w:hAnsi="Consolas"/>
          <w:b w:val="0"/>
          <w:i w:val="0"/>
          <w:color w:val="1B5E8C"/>
          <w:sz w:val="19"/>
        </w:rPr>
        <w:t>SUM(REVENUE)</w:t>
      </w:r>
      <w:r>
        <w:rPr>
          <w:b w:val="0"/>
          <w:i w:val="0"/>
          <w:sz w:val="20"/>
        </w:rPr>
        <w:t xml:space="preserve"> over </w:t>
      </w:r>
      <w:r>
        <w:rPr>
          <w:rFonts w:ascii="Consolas" w:hAnsi="Consolas"/>
          <w:b w:val="0"/>
          <w:i w:val="0"/>
          <w:color w:val="1B5E8C"/>
          <w:sz w:val="19"/>
        </w:rPr>
        <w:t>DT_PNL_SUMMARY</w:t>
      </w:r>
      <w:r>
        <w:rPr>
          <w:b w:val="0"/>
          <w:i w:val="0"/>
          <w:sz w:val="20"/>
        </w:rPr>
        <w:t xml:space="preserve"> gives $2,250,872,386. Exactly equal.</w:t>
      </w:r>
    </w:p>
    <w:p>
      <w:pPr>
        <w:spacing w:after="120"/>
      </w:pPr>
      <w:r>
        <w:rPr>
          <w:b w:val="0"/>
          <w:i w:val="0"/>
          <w:sz w:val="20"/>
        </w:rPr>
        <w:t>This is the property most worth encoding as a verified query, because the wrong query succeeds silently.</w:t>
      </w:r>
    </w:p>
    <w:p>
      <w:pPr>
        <w:keepNext/>
        <w:spacing w:before="160" w:after="40"/>
        <w:outlineLvl w:val="2"/>
      </w:pPr>
      <w:r>
        <w:rPr>
          <w:b/>
          <w:color w:val="29B5E8"/>
          <w:sz w:val="20"/>
        </w:rPr>
        <w:t xml:space="preserve">2. </w:t>
      </w:r>
      <w:r>
        <w:rPr>
          <w:rFonts w:ascii="Consolas" w:hAnsi="Consolas"/>
          <w:b/>
          <w:color w:val="29B5E8"/>
          <w:sz w:val="19"/>
        </w:rPr>
        <w:t>Cleared</w:t>
      </w:r>
      <w:r>
        <w:rPr>
          <w:b/>
          <w:color w:val="29B5E8"/>
          <w:sz w:val="20"/>
        </w:rPr>
        <w:t xml:space="preserve"> dominates AR</w:t>
      </w:r>
    </w:p>
    <w:p>
      <w:pPr>
        <w:spacing w:after="120"/>
      </w:pPr>
      <w:r>
        <w:rPr>
          <w:b w:val="0"/>
          <w:i w:val="0"/>
          <w:sz w:val="20"/>
        </w:rPr>
        <w:t xml:space="preserve">2,983 of 3,868 </w:t>
      </w:r>
      <w:r>
        <w:rPr>
          <w:rFonts w:ascii="Consolas" w:hAnsi="Consolas"/>
          <w:b w:val="0"/>
          <w:i w:val="0"/>
          <w:color w:val="1B5E8C"/>
          <w:sz w:val="19"/>
        </w:rPr>
        <w:t>DT_AR_AGING</w:t>
      </w:r>
      <w:r>
        <w:rPr>
          <w:b w:val="0"/>
          <w:i w:val="0"/>
          <w:sz w:val="20"/>
        </w:rPr>
        <w:t xml:space="preserve"> rows are in the </w:t>
      </w:r>
      <w:r>
        <w:rPr>
          <w:rFonts w:ascii="Consolas" w:hAnsi="Consolas"/>
          <w:b w:val="0"/>
          <w:i w:val="0"/>
          <w:color w:val="1B5E8C"/>
          <w:sz w:val="19"/>
        </w:rPr>
        <w:t>Cleared</w:t>
      </w:r>
      <w:r>
        <w:rPr>
          <w:b w:val="0"/>
          <w:i w:val="0"/>
          <w:sz w:val="20"/>
        </w:rPr>
        <w:t xml:space="preserve"> bucket with zero open amount. Any AR average that does not exclude them is 77% too small.</w:t>
      </w:r>
    </w:p>
    <w:p>
      <w:pPr>
        <w:spacing w:after="120"/>
      </w:pPr>
      <w:r>
        <w:rPr>
          <w:b w:val="0"/>
          <w:i w:val="0"/>
          <w:sz w:val="20"/>
        </w:rPr>
        <w:t xml:space="preserve">An AR measure in a semantic model should either filter </w:t>
      </w:r>
      <w:r>
        <w:rPr>
          <w:rFonts w:ascii="Consolas" w:hAnsi="Consolas"/>
          <w:b w:val="0"/>
          <w:i w:val="0"/>
          <w:color w:val="1B5E8C"/>
          <w:sz w:val="19"/>
        </w:rPr>
        <w:t>Cleared</w:t>
      </w:r>
      <w:r>
        <w:rPr>
          <w:b w:val="0"/>
          <w:i w:val="0"/>
          <w:sz w:val="20"/>
        </w:rPr>
        <w:t xml:space="preserve"> or be named so that its inclusion is unmistakable.</w:t>
      </w:r>
    </w:p>
    <w:p>
      <w:pPr>
        <w:keepNext/>
        <w:spacing w:before="160" w:after="40"/>
        <w:outlineLvl w:val="2"/>
      </w:pPr>
      <w:r>
        <w:rPr>
          <w:b/>
          <w:color w:val="29B5E8"/>
          <w:sz w:val="20"/>
        </w:rPr>
        <w:t>3. Grains are not interchangeable</w:t>
      </w:r>
    </w:p>
    <w:p>
      <w:pPr>
        <w:spacing w:after="120"/>
      </w:pPr>
      <w:r>
        <w:rPr>
          <w:b w:val="0"/>
          <w:i w:val="0"/>
          <w:sz w:val="20"/>
        </w:rPr>
        <w:t>Two mismatches that a model can easily invite:</w:t>
      </w:r>
    </w:p>
    <w:p>
      <w:pPr>
        <w:pStyle w:val="ListBullet"/>
        <w:spacing w:after="40"/>
      </w:pPr>
      <w:r>
        <w:rPr>
          <w:b/>
          <w:sz w:val="20"/>
        </w:rPr>
        <w:t>Documents versus line items.</w:t>
      </w:r>
      <w:r>
        <w:rPr>
          <w:b w:val="0"/>
          <w:sz w:val="20"/>
        </w:rPr>
        <w:t xml:space="preserve"> </w:t>
      </w:r>
      <w:r>
        <w:rPr>
          <w:rFonts w:ascii="Consolas" w:hAnsi="Consolas"/>
          <w:b w:val="0"/>
          <w:color w:val="1B5E8C"/>
          <w:sz w:val="19"/>
        </w:rPr>
        <w:t>DT_PNL_SUMMARY</w:t>
      </w:r>
      <w:r>
        <w:rPr>
          <w:b w:val="0"/>
          <w:sz w:val="20"/>
        </w:rPr>
        <w:t xml:space="preserve"> accounts for 5,150 documents; </w:t>
      </w:r>
      <w:r>
        <w:rPr>
          <w:rFonts w:ascii="Consolas" w:hAnsi="Consolas"/>
          <w:b w:val="0"/>
          <w:color w:val="1B5E8C"/>
          <w:sz w:val="19"/>
        </w:rPr>
        <w:t>DT_JOURNAL_ENTRY_360</w:t>
      </w:r>
      <w:r>
        <w:rPr>
          <w:b w:val="0"/>
          <w:sz w:val="20"/>
        </w:rPr>
        <w:t xml:space="preserve"> holds 10,300 rows — exactly 2×, because every document has two offsetting lines. A "transaction count" measure has to say which it counts.</w:t>
      </w:r>
    </w:p>
    <w:p>
      <w:pPr>
        <w:pStyle w:val="ListBullet"/>
        <w:spacing w:after="40"/>
      </w:pPr>
      <w:r>
        <w:rPr>
          <w:b/>
          <w:sz w:val="20"/>
        </w:rPr>
        <w:t>AP gross versus posted revenue.</w:t>
      </w:r>
      <w:r>
        <w:rPr>
          <w:b w:val="0"/>
          <w:sz w:val="20"/>
        </w:rPr>
        <w:t xml:space="preserve"> AP gross is $4,340,327,683 over 419 invoices; three years of revenue is $2,250,872,386. Different populations at different grains. A model that exposes both as comparable currency measures invites a ratio that means nothing.</w:t>
      </w:r>
    </w:p>
    <w:p>
      <w:pPr>
        <w:spacing w:before="80" w:after="160"/>
        <w:jc w:val="center"/>
      </w:pPr>
      <w:r>
        <w:rPr>
          <w:color w:val="C8D4DE"/>
          <w:sz w:val="12"/>
        </w:rPr>
        <w:t>──────────────────────────────────────────────────────────</w:t>
      </w:r>
    </w:p>
    <w:p>
      <w:pPr>
        <w:keepNext/>
        <w:spacing w:before="240" w:after="60"/>
        <w:outlineLvl w:val="1"/>
      </w:pPr>
      <w:r>
        <w:rPr>
          <w:b/>
          <w:color w:val="1B3A57"/>
          <w:sz w:val="23"/>
        </w:rPr>
        <w:t>Data windows are a modelling constraint</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Object</w:t>
            </w:r>
          </w:p>
        </w:tc>
        <w:tc>
          <w:tcPr>
            <w:tcW w:type="dxa" w:w="2484"/>
            <w:shd w:val="clear" w:fill="1B3A57"/>
          </w:tcPr>
          <w:p>
            <w:pPr>
              <w:spacing w:after="20"/>
            </w:pPr>
            <w:r/>
            <w:r>
              <w:rPr>
                <w:b/>
                <w:color w:val="FFFFFF"/>
                <w:sz w:val="17"/>
              </w:rPr>
              <w:t>Column</w:t>
            </w:r>
          </w:p>
        </w:tc>
        <w:tc>
          <w:tcPr>
            <w:tcW w:type="dxa" w:w="2484"/>
            <w:shd w:val="clear" w:fill="1B3A57"/>
          </w:tcPr>
          <w:p>
            <w:pPr>
              <w:spacing w:after="20"/>
            </w:pPr>
            <w:r/>
            <w:r>
              <w:rPr>
                <w:b/>
                <w:color w:val="FFFFFF"/>
                <w:sz w:val="17"/>
              </w:rPr>
              <w:t>From</w:t>
            </w:r>
          </w:p>
        </w:tc>
        <w:tc>
          <w:tcPr>
            <w:tcW w:type="dxa" w:w="2484"/>
            <w:shd w:val="clear" w:fill="1B3A57"/>
          </w:tcPr>
          <w:p>
            <w:pPr>
              <w:spacing w:after="20"/>
            </w:pPr>
            <w:r/>
            <w:r>
              <w:rPr>
                <w:b/>
                <w:color w:val="FFFFFF"/>
                <w:sz w:val="17"/>
              </w:rPr>
              <w:t>To</w:t>
            </w:r>
          </w:p>
        </w:tc>
      </w:tr>
      <w:tr>
        <w:trPr>
          <w:cantSplit/>
        </w:trPr>
        <w:tc>
          <w:tcPr>
            <w:tcW w:type="dxa" w:w="2484"/>
          </w:tcPr>
          <w:p>
            <w:pPr>
              <w:spacing w:after="20"/>
            </w:pPr>
            <w:r/>
            <w:r>
              <w:rPr>
                <w:rFonts w:ascii="Consolas" w:hAnsi="Consolas"/>
                <w:b w:val="0"/>
                <w:color w:val="1B5E8C"/>
                <w:sz w:val="16"/>
              </w:rPr>
              <w:t>DT_JOURNAL_ENTRY_360</w:t>
            </w:r>
          </w:p>
        </w:tc>
        <w:tc>
          <w:tcPr>
            <w:tcW w:type="dxa" w:w="2484"/>
          </w:tcPr>
          <w:p>
            <w:pPr>
              <w:spacing w:after="20"/>
            </w:pPr>
            <w:r/>
            <w:r>
              <w:rPr>
                <w:rFonts w:ascii="Consolas" w:hAnsi="Consolas"/>
                <w:b w:val="0"/>
                <w:color w:val="1B5E8C"/>
                <w:sz w:val="16"/>
              </w:rPr>
              <w:t>POSTINGDATE</w:t>
            </w:r>
          </w:p>
        </w:tc>
        <w:tc>
          <w:tcPr>
            <w:tcW w:type="dxa" w:w="2484"/>
          </w:tcPr>
          <w:p>
            <w:pPr>
              <w:spacing w:after="20"/>
            </w:pPr>
            <w:r/>
            <w:r>
              <w:rPr>
                <w:b w:val="0"/>
                <w:sz w:val="17"/>
              </w:rPr>
              <w:t>2023-01-01</w:t>
            </w:r>
          </w:p>
        </w:tc>
        <w:tc>
          <w:tcPr>
            <w:tcW w:type="dxa" w:w="2484"/>
          </w:tcPr>
          <w:p>
            <w:pPr>
              <w:spacing w:after="20"/>
            </w:pPr>
            <w:r/>
            <w:r>
              <w:rPr>
                <w:b w:val="0"/>
                <w:sz w:val="17"/>
              </w:rPr>
              <w:t>2025-03-28</w:t>
            </w:r>
          </w:p>
        </w:tc>
      </w:tr>
      <w:tr>
        <w:trPr>
          <w:cantSplit/>
        </w:trPr>
        <w:tc>
          <w:tcPr>
            <w:tcW w:type="dxa" w:w="2484"/>
            <w:shd w:val="clear" w:fill="EEF4F8"/>
          </w:tcPr>
          <w:p>
            <w:pPr>
              <w:spacing w:after="20"/>
            </w:pPr>
            <w:r/>
            <w:r>
              <w:rPr>
                <w:rFonts w:ascii="Consolas" w:hAnsi="Consolas"/>
                <w:b w:val="0"/>
                <w:color w:val="1B5E8C"/>
                <w:sz w:val="16"/>
              </w:rPr>
              <w:t>DT_AP_AGING</w:t>
            </w:r>
          </w:p>
        </w:tc>
        <w:tc>
          <w:tcPr>
            <w:tcW w:type="dxa" w:w="2484"/>
            <w:shd w:val="clear" w:fill="EEF4F8"/>
          </w:tcPr>
          <w:p>
            <w:pPr>
              <w:spacing w:after="20"/>
            </w:pPr>
            <w:r/>
            <w:r>
              <w:rPr>
                <w:rFonts w:ascii="Consolas" w:hAnsi="Consolas"/>
                <w:b w:val="0"/>
                <w:color w:val="1B5E8C"/>
                <w:sz w:val="16"/>
              </w:rPr>
              <w:t>POSTINGDATE</w:t>
            </w:r>
          </w:p>
        </w:tc>
        <w:tc>
          <w:tcPr>
            <w:tcW w:type="dxa" w:w="2484"/>
            <w:shd w:val="clear" w:fill="EEF4F8"/>
          </w:tcPr>
          <w:p>
            <w:pPr>
              <w:spacing w:after="20"/>
            </w:pPr>
            <w:r/>
            <w:r>
              <w:rPr>
                <w:b w:val="0"/>
                <w:sz w:val="17"/>
              </w:rPr>
              <w:t>2023-01-06</w:t>
            </w:r>
          </w:p>
        </w:tc>
        <w:tc>
          <w:tcPr>
            <w:tcW w:type="dxa" w:w="2484"/>
            <w:shd w:val="clear" w:fill="EEF4F8"/>
          </w:tcPr>
          <w:p>
            <w:pPr>
              <w:spacing w:after="20"/>
            </w:pPr>
            <w:r/>
            <w:r>
              <w:rPr>
                <w:b w:val="0"/>
                <w:sz w:val="17"/>
              </w:rPr>
              <w:t>2025-04-25</w:t>
            </w:r>
          </w:p>
        </w:tc>
      </w:tr>
      <w:tr>
        <w:trPr>
          <w:cantSplit/>
        </w:trPr>
        <w:tc>
          <w:tcPr>
            <w:tcW w:type="dxa" w:w="2484"/>
          </w:tcPr>
          <w:p>
            <w:pPr>
              <w:spacing w:after="20"/>
            </w:pPr>
            <w:r/>
            <w:r>
              <w:rPr>
                <w:rFonts w:ascii="Consolas" w:hAnsi="Consolas"/>
                <w:b w:val="0"/>
                <w:color w:val="1B5E8C"/>
                <w:sz w:val="16"/>
              </w:rPr>
              <w:t>DT_AR_AGING</w:t>
            </w:r>
          </w:p>
        </w:tc>
        <w:tc>
          <w:tcPr>
            <w:tcW w:type="dxa" w:w="2484"/>
          </w:tcPr>
          <w:p>
            <w:pPr>
              <w:spacing w:after="20"/>
            </w:pPr>
            <w:r/>
            <w:r>
              <w:rPr>
                <w:rFonts w:ascii="Consolas" w:hAnsi="Consolas"/>
                <w:b w:val="0"/>
                <w:color w:val="1B5E8C"/>
                <w:sz w:val="16"/>
              </w:rPr>
              <w:t>INVOICEDATE</w:t>
            </w:r>
          </w:p>
        </w:tc>
        <w:tc>
          <w:tcPr>
            <w:tcW w:type="dxa" w:w="2484"/>
          </w:tcPr>
          <w:p>
            <w:pPr>
              <w:spacing w:after="20"/>
            </w:pPr>
            <w:r/>
            <w:r>
              <w:rPr>
                <w:b w:val="0"/>
                <w:sz w:val="17"/>
              </w:rPr>
              <w:t>2024-11-14</w:t>
            </w:r>
          </w:p>
        </w:tc>
        <w:tc>
          <w:tcPr>
            <w:tcW w:type="dxa" w:w="2484"/>
          </w:tcPr>
          <w:p>
            <w:pPr>
              <w:spacing w:after="20"/>
            </w:pPr>
            <w:r/>
            <w:r>
              <w:rPr>
                <w:b w:val="0"/>
                <w:sz w:val="17"/>
              </w:rPr>
              <w:t>2026-05-07</w:t>
            </w:r>
          </w:p>
        </w:tc>
      </w:tr>
    </w:tbl>
    <w:p>
      <w:pPr>
        <w:spacing w:after="80"/>
      </w:pPr>
    </w:p>
    <w:p>
      <w:pPr>
        <w:spacing w:after="120"/>
      </w:pPr>
      <w:r>
        <w:rPr>
          <w:b w:val="0"/>
          <w:i w:val="0"/>
          <w:sz w:val="20"/>
        </w:rPr>
        <w:t xml:space="preserve">The 12 relationships in the </w:t>
      </w:r>
      <w:r>
        <w:rPr>
          <w:rFonts w:ascii="Consolas" w:hAnsi="Consolas"/>
          <w:b w:val="0"/>
          <w:i w:val="0"/>
          <w:color w:val="1B5E8C"/>
          <w:sz w:val="19"/>
        </w:rPr>
        <w:t>SEMANTIC</w:t>
      </w:r>
      <w:r>
        <w:rPr>
          <w:b w:val="0"/>
          <w:i w:val="0"/>
          <w:sz w:val="20"/>
        </w:rPr>
        <w:t xml:space="preserve"> view make cross-object joins expressible, and a date-aligned join between AR and the ledger will return almost nothing for most of the AR window — the ledger ends more than a year before AR does.</w:t>
      </w:r>
    </w:p>
    <w:p>
      <w:pPr>
        <w:spacing w:after="120"/>
      </w:pPr>
      <w:r>
        <w:rPr>
          <w:b w:val="0"/>
          <w:i w:val="0"/>
          <w:sz w:val="20"/>
        </w:rPr>
        <w:t xml:space="preserve">That is not a defect in the relationships. It is a property of </w:t>
      </w:r>
      <w:r>
        <w:rPr>
          <w:rFonts w:ascii="Consolas" w:hAnsi="Consolas"/>
          <w:b w:val="0"/>
          <w:i w:val="0"/>
          <w:color w:val="1B5E8C"/>
          <w:sz w:val="19"/>
        </w:rPr>
        <w:t>DT_AR_AGING</w:t>
      </w:r>
      <w:r>
        <w:rPr>
          <w:b w:val="0"/>
          <w:i w:val="0"/>
          <w:sz w:val="20"/>
        </w:rPr>
        <w:t xml:space="preserve"> being generated rather than derived from the ledger (see findings (05-findings.md#dt_ar_aging-is-a-plain-table-wearing-a-dynamic-tables-prefix)), and a model offering AR-to-revenue time series should carry a description saying so.</w:t>
      </w:r>
    </w:p>
    <w:p>
      <w:pPr>
        <w:spacing w:before="80" w:after="160"/>
        <w:jc w:val="center"/>
      </w:pPr>
      <w:r>
        <w:rPr>
          <w:color w:val="C8D4DE"/>
          <w:sz w:val="12"/>
        </w:rPr>
        <w:t>──────────────────────────────────────────────────────────</w:t>
      </w:r>
    </w:p>
    <w:p>
      <w:pPr>
        <w:keepNext/>
        <w:spacing w:before="240" w:after="60"/>
        <w:outlineLvl w:val="1"/>
      </w:pPr>
      <w:r>
        <w:rPr>
          <w:b/>
          <w:color w:val="1B3A57"/>
          <w:sz w:val="23"/>
        </w:rPr>
        <w:t>Recommended end state</w:t>
      </w:r>
    </w:p>
    <w:p>
      <w:pPr>
        <w:spacing w:after="120"/>
      </w:pPr>
      <w:r>
        <w:rPr>
          <w:b w:val="0"/>
          <w:i w:val="0"/>
          <w:sz w:val="20"/>
        </w:rPr>
        <w:t>In priority order:</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w:t>
            </w:r>
          </w:p>
        </w:tc>
        <w:tc>
          <w:tcPr>
            <w:tcW w:type="dxa" w:w="3528"/>
            <w:shd w:val="clear" w:fill="1B3A57"/>
          </w:tcPr>
          <w:p>
            <w:pPr>
              <w:spacing w:after="20"/>
            </w:pPr>
            <w:r/>
            <w:r>
              <w:rPr>
                <w:b/>
                <w:color w:val="FFFFFF"/>
                <w:sz w:val="17"/>
              </w:rPr>
              <w:t>Change</w:t>
            </w:r>
          </w:p>
        </w:tc>
        <w:tc>
          <w:tcPr>
            <w:tcW w:type="dxa" w:w="3528"/>
            <w:shd w:val="clear" w:fill="1B3A57"/>
          </w:tcPr>
          <w:p>
            <w:pPr>
              <w:spacing w:after="20"/>
            </w:pPr>
            <w:r/>
            <w:r>
              <w:rPr>
                <w:b/>
                <w:color w:val="FFFFFF"/>
                <w:sz w:val="17"/>
              </w:rPr>
              <w:t>Why</w:t>
            </w:r>
          </w:p>
        </w:tc>
      </w:tr>
      <w:tr>
        <w:trPr>
          <w:cantSplit/>
        </w:trPr>
        <w:tc>
          <w:tcPr>
            <w:tcW w:type="dxa" w:w="2880"/>
          </w:tcPr>
          <w:p>
            <w:pPr>
              <w:spacing w:after="20"/>
            </w:pPr>
            <w:r/>
            <w:r>
              <w:rPr>
                <w:b w:val="0"/>
                <w:sz w:val="17"/>
              </w:rPr>
              <w:t>1</w:t>
            </w:r>
          </w:p>
        </w:tc>
        <w:tc>
          <w:tcPr>
            <w:tcW w:type="dxa" w:w="3528"/>
          </w:tcPr>
          <w:p>
            <w:pPr>
              <w:spacing w:after="20"/>
            </w:pPr>
            <w:r/>
            <w:r>
              <w:rPr>
                <w:b w:val="0"/>
                <w:sz w:val="17"/>
              </w:rPr>
              <w:t>Add verified queries to the Analyst model, starting with signed-amount revenue</w:t>
            </w:r>
          </w:p>
        </w:tc>
        <w:tc>
          <w:tcPr>
            <w:tcW w:type="dxa" w:w="3528"/>
          </w:tcPr>
          <w:p>
            <w:pPr>
              <w:spacing w:after="20"/>
            </w:pPr>
            <w:r/>
            <w:r>
              <w:rPr>
                <w:b w:val="0"/>
                <w:sz w:val="17"/>
              </w:rPr>
              <w:t>0 today; the hardest idiom is untaught and fails silently</w:t>
            </w:r>
          </w:p>
        </w:tc>
      </w:tr>
      <w:tr>
        <w:trPr>
          <w:cantSplit/>
        </w:trPr>
        <w:tc>
          <w:tcPr>
            <w:tcW w:type="dxa" w:w="2880"/>
            <w:shd w:val="clear" w:fill="EEF4F8"/>
          </w:tcPr>
          <w:p>
            <w:pPr>
              <w:spacing w:after="20"/>
            </w:pPr>
            <w:r/>
            <w:r>
              <w:rPr>
                <w:b w:val="0"/>
                <w:sz w:val="17"/>
              </w:rPr>
              <w:t>2</w:t>
            </w:r>
          </w:p>
        </w:tc>
        <w:tc>
          <w:tcPr>
            <w:tcW w:type="dxa" w:w="3528"/>
            <w:shd w:val="clear" w:fill="EEF4F8"/>
          </w:tcPr>
          <w:p>
            <w:pPr>
              <w:spacing w:after="20"/>
            </w:pPr>
            <w:r/>
            <w:r>
              <w:rPr>
                <w:b w:val="0"/>
                <w:sz w:val="17"/>
              </w:rPr>
              <w:t xml:space="preserve">Add </w:t>
            </w:r>
            <w:r>
              <w:rPr>
                <w:rFonts w:ascii="Consolas" w:hAnsi="Consolas"/>
                <w:b w:val="0"/>
                <w:color w:val="1B5E8C"/>
                <w:sz w:val="16"/>
              </w:rPr>
              <w:t>DT_PNL_SUMMARY</w:t>
            </w:r>
            <w:r>
              <w:rPr>
                <w:b w:val="0"/>
                <w:sz w:val="17"/>
              </w:rPr>
              <w:t xml:space="preserve"> and </w:t>
            </w:r>
            <w:r>
              <w:rPr>
                <w:rFonts w:ascii="Consolas" w:hAnsi="Consolas"/>
                <w:b w:val="0"/>
                <w:color w:val="1B5E8C"/>
                <w:sz w:val="16"/>
              </w:rPr>
              <w:t>DT_AP_AGING</w:t>
            </w:r>
            <w:r>
              <w:rPr>
                <w:b w:val="0"/>
                <w:sz w:val="17"/>
              </w:rPr>
              <w:t xml:space="preserve"> to the Analyst model</w:t>
            </w:r>
          </w:p>
        </w:tc>
        <w:tc>
          <w:tcPr>
            <w:tcW w:type="dxa" w:w="3528"/>
            <w:shd w:val="clear" w:fill="EEF4F8"/>
          </w:tcPr>
          <w:p>
            <w:pPr>
              <w:spacing w:after="20"/>
            </w:pPr>
            <w:r/>
            <w:r>
              <w:rPr>
                <w:b w:val="0"/>
                <w:sz w:val="17"/>
              </w:rPr>
              <w:t>the app has pages for both subject areas</w:t>
            </w:r>
          </w:p>
        </w:tc>
      </w:tr>
      <w:tr>
        <w:trPr>
          <w:cantSplit/>
        </w:trPr>
        <w:tc>
          <w:tcPr>
            <w:tcW w:type="dxa" w:w="2880"/>
          </w:tcPr>
          <w:p>
            <w:pPr>
              <w:spacing w:after="20"/>
            </w:pPr>
            <w:r/>
            <w:r>
              <w:rPr>
                <w:b w:val="0"/>
                <w:sz w:val="17"/>
              </w:rPr>
              <w:t>3</w:t>
            </w:r>
          </w:p>
        </w:tc>
        <w:tc>
          <w:tcPr>
            <w:tcW w:type="dxa" w:w="3528"/>
          </w:tcPr>
          <w:p>
            <w:pPr>
              <w:spacing w:after="20"/>
            </w:pPr>
            <w:r/>
            <w:r>
              <w:rPr>
                <w:b w:val="0"/>
                <w:sz w:val="17"/>
              </w:rPr>
              <w:t xml:space="preserve">Consolidate the two semantic views into one with metrics </w:t>
            </w:r>
            <w:r>
              <w:rPr>
                <w:b w:val="0"/>
                <w:i/>
                <w:sz w:val="17"/>
              </w:rPr>
              <w:t>and</w:t>
            </w:r>
            <w:r>
              <w:rPr>
                <w:b w:val="0"/>
                <w:sz w:val="17"/>
              </w:rPr>
              <w:t xml:space="preserve"> relationships</w:t>
            </w:r>
          </w:p>
        </w:tc>
        <w:tc>
          <w:tcPr>
            <w:tcW w:type="dxa" w:w="3528"/>
          </w:tcPr>
          <w:p>
            <w:pPr>
              <w:spacing w:after="20"/>
            </w:pPr>
            <w:r/>
            <w:r>
              <w:rPr>
                <w:b w:val="0"/>
                <w:sz w:val="17"/>
              </w:rPr>
              <w:t>neither is complete; the split has no rationale</w:t>
            </w:r>
          </w:p>
        </w:tc>
      </w:tr>
      <w:tr>
        <w:trPr>
          <w:cantSplit/>
        </w:trPr>
        <w:tc>
          <w:tcPr>
            <w:tcW w:type="dxa" w:w="2880"/>
            <w:shd w:val="clear" w:fill="EEF4F8"/>
          </w:tcPr>
          <w:p>
            <w:pPr>
              <w:spacing w:after="20"/>
            </w:pPr>
            <w:r/>
            <w:r>
              <w:rPr>
                <w:b w:val="0"/>
                <w:sz w:val="17"/>
              </w:rPr>
              <w:t>4</w:t>
            </w:r>
          </w:p>
        </w:tc>
        <w:tc>
          <w:tcPr>
            <w:tcW w:type="dxa" w:w="3528"/>
            <w:shd w:val="clear" w:fill="EEF4F8"/>
          </w:tcPr>
          <w:p>
            <w:pPr>
              <w:spacing w:after="20"/>
            </w:pPr>
            <w:r/>
            <w:r>
              <w:rPr>
                <w:b w:val="0"/>
                <w:sz w:val="17"/>
              </w:rPr>
              <w:t xml:space="preserve">Add </w:t>
            </w:r>
            <w:r>
              <w:rPr>
                <w:rFonts w:ascii="Consolas" w:hAnsi="Consolas"/>
                <w:b w:val="0"/>
                <w:color w:val="1B5E8C"/>
                <w:sz w:val="16"/>
              </w:rPr>
              <w:t>DT_GL_BALANCE</w:t>
            </w:r>
            <w:r>
              <w:rPr>
                <w:b w:val="0"/>
                <w:sz w:val="17"/>
              </w:rPr>
              <w:t xml:space="preserve"> to the consolidated view</w:t>
            </w:r>
          </w:p>
        </w:tc>
        <w:tc>
          <w:tcPr>
            <w:tcW w:type="dxa" w:w="3528"/>
            <w:shd w:val="clear" w:fill="EEF4F8"/>
          </w:tcPr>
          <w:p>
            <w:pPr>
              <w:spacing w:after="20"/>
            </w:pPr>
            <w:r/>
            <w:r>
              <w:rPr>
                <w:b w:val="0"/>
                <w:sz w:val="17"/>
              </w:rPr>
              <w:t>it is in no semantic artefact at all</w:t>
            </w:r>
          </w:p>
        </w:tc>
      </w:tr>
      <w:tr>
        <w:trPr>
          <w:cantSplit/>
        </w:trPr>
        <w:tc>
          <w:tcPr>
            <w:tcW w:type="dxa" w:w="2880"/>
          </w:tcPr>
          <w:p>
            <w:pPr>
              <w:spacing w:after="20"/>
            </w:pPr>
            <w:r/>
            <w:r>
              <w:rPr>
                <w:b w:val="0"/>
                <w:sz w:val="17"/>
              </w:rPr>
              <w:t>5</w:t>
            </w:r>
          </w:p>
        </w:tc>
        <w:tc>
          <w:tcPr>
            <w:tcW w:type="dxa" w:w="3528"/>
          </w:tcPr>
          <w:p>
            <w:pPr>
              <w:spacing w:after="20"/>
            </w:pPr>
            <w:r/>
            <w:r>
              <w:rPr>
                <w:b w:val="0"/>
                <w:sz w:val="17"/>
              </w:rPr>
              <w:t xml:space="preserve">Describe the </w:t>
            </w:r>
            <w:r>
              <w:rPr>
                <w:rFonts w:ascii="Consolas" w:hAnsi="Consolas"/>
                <w:b w:val="0"/>
                <w:color w:val="1B5E8C"/>
                <w:sz w:val="16"/>
              </w:rPr>
              <w:t>Cleared</w:t>
            </w:r>
            <w:r>
              <w:rPr>
                <w:b w:val="0"/>
                <w:sz w:val="17"/>
              </w:rPr>
              <w:t xml:space="preserve"> exclusion and the document/line-item distinction on every affected measure</w:t>
            </w:r>
          </w:p>
        </w:tc>
        <w:tc>
          <w:tcPr>
            <w:tcW w:type="dxa" w:w="3528"/>
          </w:tcPr>
          <w:p>
            <w:pPr>
              <w:spacing w:after="20"/>
            </w:pPr>
            <w:r/>
            <w:r>
              <w:rPr>
                <w:b w:val="0"/>
                <w:sz w:val="17"/>
              </w:rPr>
              <w:t>both produce silently wrong numbers</w:t>
            </w:r>
          </w:p>
        </w:tc>
      </w:tr>
      <w:tr>
        <w:trPr>
          <w:cantSplit/>
        </w:trPr>
        <w:tc>
          <w:tcPr>
            <w:tcW w:type="dxa" w:w="2880"/>
            <w:shd w:val="clear" w:fill="EEF4F8"/>
          </w:tcPr>
          <w:p>
            <w:pPr>
              <w:spacing w:after="20"/>
            </w:pPr>
            <w:r/>
            <w:r>
              <w:rPr>
                <w:b w:val="0"/>
                <w:sz w:val="17"/>
              </w:rPr>
              <w:t>6</w:t>
            </w:r>
          </w:p>
        </w:tc>
        <w:tc>
          <w:tcPr>
            <w:tcW w:type="dxa" w:w="3528"/>
            <w:shd w:val="clear" w:fill="EEF4F8"/>
          </w:tcPr>
          <w:p>
            <w:pPr>
              <w:spacing w:after="20"/>
            </w:pPr>
            <w:r/>
            <w:r>
              <w:rPr>
                <w:b w:val="0"/>
                <w:sz w:val="17"/>
              </w:rPr>
              <w:t>Note the AR window on any AR measure</w:t>
            </w:r>
          </w:p>
        </w:tc>
        <w:tc>
          <w:tcPr>
            <w:tcW w:type="dxa" w:w="3528"/>
            <w:shd w:val="clear" w:fill="EEF4F8"/>
          </w:tcPr>
          <w:p>
            <w:pPr>
              <w:spacing w:after="20"/>
            </w:pPr>
            <w:r/>
            <w:r>
              <w:rPr>
                <w:b w:val="0"/>
                <w:sz w:val="17"/>
              </w:rPr>
              <w:t>prevents an empty-series comparison</w:t>
            </w:r>
          </w:p>
        </w:tc>
      </w:tr>
    </w:tbl>
    <w:p>
      <w:pPr>
        <w:spacing w:after="80"/>
      </w:pPr>
    </w:p>
    <w:p>
      <w:pPr>
        <w:spacing w:after="120"/>
      </w:pPr>
      <w:r>
        <w:rPr>
          <w:b w:val="0"/>
          <w:i w:val="0"/>
          <w:sz w:val="20"/>
        </w:rPr>
        <w:t>Items 1 and 2 are the ones a customer will notice. Item 3 is the one a maintainer will.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