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color w:val="29B5E8"/>
          <w:sz w:val="26"/>
        </w:rPr>
        <w:t>SAP BDC Sales 360</w:t>
      </w:r>
    </w:p>
    <w:p>
      <w:pPr>
        <w:spacing w:after="40"/>
      </w:pPr>
      <w:r>
        <w:rPr>
          <w:b/>
          <w:color w:val="1B3A57"/>
          <w:sz w:val="44"/>
        </w:rPr>
        <w:t>Architecture</w:t>
      </w:r>
    </w:p>
    <w:p>
      <w:pPr>
        <w:spacing w:after="280"/>
      </w:pPr>
      <w:r>
        <w:rPr>
          <w:color w:val="5A6A7A"/>
          <w:sz w:val="19"/>
        </w:rPr>
        <w:t>Generated from docs/02-architecture.md  ·  part 02</w:t>
      </w:r>
    </w:p>
    <w:p>
      <w:pPr>
        <w:spacing w:after="120"/>
      </w:pPr>
      <w:r>
        <w:rPr>
          <w:b w:val="0"/>
          <w:i w:val="0"/>
          <w:sz w:val="20"/>
        </w:rPr>
        <w:t>Every object in the stack, what reads what, and the three places where the wiring is not what the layer diagram would suggest.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Data flow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9936"/>
      </w:tblGrid>
      <w:tr>
        <w:trPr>
          <w:cantSplit/>
        </w:trPr>
        <w:tc>
          <w:tcPr>
            <w:tcW w:type="dxa" w:w="9936"/>
            <w:shd w:val="clear" w:fill="F4F6F8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223344"/>
                <w:sz w:val="16"/>
              </w:rPr>
              <w:t>SAP BDC Standard Data Products                  (L0, shared databases, not copied)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SAP_SALES_360.SAP_BDC_L1                        (L1, 31 materialised TABLES,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CRM_OPPORTUNITY_OPPORTUNITY  ...                    2,551,850 rows,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SALESORDERS_SALESORDER / SALESORDERITEM              0 dynamic tables)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19 PRODUCT_* objects  CUSTOMER_CUSTOMER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CRM_OPPORTUNITY_SALES_REP / ACTIVITY  SALES_FORECAST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      |   10 of the 31 names reappear below with identical row counts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      |   -&gt; 1,437,370 rows materialised twice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SAP_SALES_360.SALES_360_L2                      (L2, 14 tables, 1,478,495 rows,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11 dynamic tables                                   11 dynamic + 3 plain)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ATTAINMENT_PREDICTIONS                              plain, ML output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SALES_REVENUE_FORECAST_METRICS                      plain, ML output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SALES_REVENUE_PREDICTIONS                           plain, ML output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      +--&gt; SEMANTIC.SAP_SALES_360_ANALYTICS              (semantic view, 64 tables)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      +--&gt; @SEMANTIC.SEMANTIC_STAGE/sap_sales_360_semantic.yaml  (Analyst model, 10 tables)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      +--&gt; SEMANTIC.SAP_SALES_360_AGENT                  (Cortex Agent, 1 tool)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 xml:space="preserve">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223344"/>
                <w:sz w:val="16"/>
              </w:rPr>
              <w:t>React + Express app, 7 pages, 53 reads — all against L2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>Three things in that diagram are worth stating plainly before the detail.</w:t>
      </w:r>
    </w:p>
    <w:p>
      <w:pPr>
        <w:pStyle w:val="ListNumber"/>
        <w:spacing w:after="40"/>
      </w:pPr>
      <w:r>
        <w:rPr>
          <w:b/>
          <w:sz w:val="20"/>
        </w:rPr>
        <w:t>L1 is not a passthrough layer.</w:t>
      </w:r>
      <w:r>
        <w:rPr>
          <w:b w:val="0"/>
          <w:sz w:val="20"/>
        </w:rPr>
        <w:t xml:space="preserve"> It holds storage, and more than half of what it holds is duplicated downstream.</w:t>
      </w:r>
    </w:p>
    <w:p>
      <w:pPr>
        <w:pStyle w:val="ListNumber"/>
        <w:spacing w:after="40"/>
      </w:pPr>
      <w:r>
        <w:rPr>
          <w:b/>
          <w:sz w:val="20"/>
        </w:rPr>
        <w:t>The app reads exactly one layer.</w:t>
      </w:r>
      <w:r>
        <w:rPr>
          <w:b w:val="0"/>
          <w:sz w:val="20"/>
        </w:rPr>
        <w:t xml:space="preserve"> 53 </w:t>
      </w:r>
      <w:r>
        <w:rPr>
          <w:rFonts w:ascii="Consolas" w:hAnsi="Consolas"/>
          <w:b w:val="0"/>
          <w:color w:val="1B5E8C"/>
          <w:sz w:val="19"/>
        </w:rPr>
        <w:t>FROM</w:t>
      </w:r>
      <w:r>
        <w:rPr>
          <w:b w:val="0"/>
          <w:sz w:val="20"/>
        </w:rPr>
        <w:t xml:space="preserve"> clauses, all on L2, none on L1, none on the shares.</w:t>
      </w:r>
    </w:p>
    <w:p>
      <w:pPr>
        <w:pStyle w:val="ListNumber"/>
        <w:spacing w:after="40"/>
      </w:pPr>
      <w:r>
        <w:rPr>
          <w:b/>
          <w:sz w:val="20"/>
        </w:rPr>
        <w:t>The agent does not read the semantic view.</w:t>
      </w:r>
      <w:r>
        <w:rPr>
          <w:b w:val="0"/>
          <w:sz w:val="20"/>
        </w:rPr>
        <w:t xml:space="preserve"> Its one tool is </w:t>
      </w:r>
      <w:r>
        <w:rPr>
          <w:rFonts w:ascii="Consolas" w:hAnsi="Consolas"/>
          <w:b w:val="0"/>
          <w:color w:val="1B5E8C"/>
          <w:sz w:val="19"/>
        </w:rPr>
        <w:t>cortex_analyst_text_to_sql</w:t>
      </w:r>
      <w:r>
        <w:rPr>
          <w:b w:val="0"/>
          <w:sz w:val="20"/>
        </w:rPr>
        <w:t>, which binds to the stage model.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L1 — 31 materialised tables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Property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Objects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31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Object type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BASE TABLE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Dynamic tables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Views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Rows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2,551,850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Rows also present in L2 with identical counts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1,437,370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Share of L1 rows duplicated into L2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56.3%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Storage added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all 2,551,850 rows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onsolas" w:hAnsi="Consolas"/>
          <w:b w:val="0"/>
          <w:i w:val="0"/>
          <w:color w:val="1B5E8C"/>
          <w:sz w:val="19"/>
        </w:rPr>
        <w:t>SHOW DYNAMIC TABLES IN SAP_BDC_L1</w:t>
      </w:r>
      <w:r>
        <w:rPr>
          <w:b w:val="0"/>
          <w:i w:val="0"/>
          <w:sz w:val="20"/>
        </w:rPr>
        <w:t xml:space="preserve"> returns nothing. Every L1 object is a plain table, which means L1 has a load step, a freshness question and a storage cost — none of which a view layer would have.</w:t>
      </w:r>
    </w:p>
    <w:p>
      <w:pPr>
        <w:spacing w:after="120"/>
      </w:pPr>
      <w:r>
        <w:rPr>
          <w:b w:val="0"/>
          <w:i w:val="0"/>
          <w:sz w:val="20"/>
        </w:rPr>
        <w:t>This is a deliberate contrast with Finance 360, where L1 is six views, adds no storage, and has no refresh lag because a view cannot have one. The Sales 360 L1 is five times the object count and carries the full row volume. The consequence and the recommendation are in findings (05-findings.md#l1-is-not-zero-copy).</w:t>
      </w:r>
    </w:p>
    <w:p>
      <w:pPr>
        <w:keepNext/>
        <w:spacing w:before="160" w:after="40"/>
        <w:outlineLvl w:val="2"/>
      </w:pPr>
      <w:r>
        <w:rPr>
          <w:b/>
          <w:color w:val="29B5E8"/>
          <w:sz w:val="20"/>
        </w:rPr>
        <w:t>The 31 objects by family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Family</w:t>
            </w:r>
          </w:p>
        </w:tc>
        <w:tc>
          <w:tcPr>
            <w:tcW w:type="dxa" w:w="2484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Objects</w:t>
            </w:r>
          </w:p>
        </w:tc>
        <w:tc>
          <w:tcPr>
            <w:tcW w:type="dxa" w:w="2484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Largest object</w:t>
            </w:r>
          </w:p>
        </w:tc>
        <w:tc>
          <w:tcPr>
            <w:tcW w:type="dxa" w:w="2484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Rows in largest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Sales orders</w:t>
            </w:r>
          </w:p>
        </w:tc>
        <w:tc>
          <w:tcPr>
            <w:tcW w:type="dxa" w:w="248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484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SALESORDERS_SALESORDERITEM</w:t>
            </w:r>
          </w:p>
        </w:tc>
        <w:tc>
          <w:tcPr>
            <w:tcW w:type="dxa" w:w="248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735,305</w:t>
            </w:r>
          </w:p>
        </w:tc>
      </w:tr>
      <w:tr>
        <w:trPr>
          <w:cantSplit/>
        </w:trPr>
        <w:tc>
          <w:tcPr>
            <w:tcW w:type="dxa" w:w="2484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Product master</w:t>
            </w:r>
          </w:p>
        </w:tc>
        <w:tc>
          <w:tcPr>
            <w:tcW w:type="dxa" w:w="2484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2484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PRODUCT_PRODUCTPLANTCOSTING</w:t>
            </w:r>
          </w:p>
        </w:tc>
        <w:tc>
          <w:tcPr>
            <w:tcW w:type="dxa" w:w="2484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92,243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CRM</w:t>
            </w:r>
          </w:p>
        </w:tc>
        <w:tc>
          <w:tcPr>
            <w:tcW w:type="dxa" w:w="248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484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CRM_OPPORTUNITY_ACTIVITY</w:t>
            </w:r>
          </w:p>
        </w:tc>
        <w:tc>
          <w:tcPr>
            <w:tcW w:type="dxa" w:w="248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35,313</w:t>
            </w:r>
          </w:p>
        </w:tc>
      </w:tr>
      <w:tr>
        <w:trPr>
          <w:cantSplit/>
        </w:trPr>
        <w:tc>
          <w:tcPr>
            <w:tcW w:type="dxa" w:w="2484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Customer</w:t>
            </w:r>
          </w:p>
        </w:tc>
        <w:tc>
          <w:tcPr>
            <w:tcW w:type="dxa" w:w="2484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84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CUSTOMER_CUSTOMER</w:t>
            </w:r>
          </w:p>
        </w:tc>
        <w:tc>
          <w:tcPr>
            <w:tcW w:type="dxa" w:w="2484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3,189</w:t>
            </w:r>
          </w:p>
        </w:tc>
      </w:tr>
      <w:tr>
        <w:trPr>
          <w:cantSplit/>
        </w:trPr>
        <w:tc>
          <w:tcPr>
            <w:tcW w:type="dxa" w:w="248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Forecast</w:t>
            </w:r>
          </w:p>
        </w:tc>
        <w:tc>
          <w:tcPr>
            <w:tcW w:type="dxa" w:w="248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484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SALES_FORECAST</w:t>
            </w:r>
          </w:p>
        </w:tc>
        <w:tc>
          <w:tcPr>
            <w:tcW w:type="dxa" w:w="2484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41,100</w:t>
            </w:r>
          </w:p>
        </w:tc>
      </w:tr>
      <w:tr>
        <w:trPr>
          <w:cantSplit/>
        </w:trPr>
        <w:tc>
          <w:tcPr>
            <w:tcW w:type="dxa" w:w="2484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Product classification</w:t>
            </w:r>
          </w:p>
        </w:tc>
        <w:tc>
          <w:tcPr>
            <w:tcW w:type="dxa" w:w="2484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484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PRODUCT_PRODUCTDESCRIPTION</w:t>
            </w:r>
          </w:p>
        </w:tc>
        <w:tc>
          <w:tcPr>
            <w:tcW w:type="dxa" w:w="2484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73,242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Nineteen of the 31 objects are product master facets. Six of them carry exactly 92,243 rows — </w:t>
      </w:r>
      <w:r>
        <w:rPr>
          <w:rFonts w:ascii="Consolas" w:hAnsi="Consolas"/>
          <w:b w:val="0"/>
          <w:i w:val="0"/>
          <w:color w:val="1B5E8C"/>
          <w:sz w:val="19"/>
        </w:rPr>
        <w:t>PRODUCT_PRODUCTPLANT</w:t>
      </w:r>
      <w:r>
        <w:rPr>
          <w:b w:val="0"/>
          <w:i w:val="0"/>
          <w:sz w:val="20"/>
        </w:rPr>
        <w:t xml:space="preserve"> and its costing, international trade, procurement, forecast and storage siblings — which is the plant-level grain repeated across facets. Another three carry 83,501, the valuation grain. That repetition is SAP's data model, faithfully reproduced.</w:t>
      </w:r>
    </w:p>
    <w:p>
      <w:pPr>
        <w:spacing w:after="120"/>
      </w:pPr>
      <w:r>
        <w:rPr>
          <w:b w:val="0"/>
          <w:i w:val="0"/>
          <w:sz w:val="20"/>
        </w:rPr>
        <w:t xml:space="preserve">The two objects that carry the transactional volume are </w:t>
      </w:r>
      <w:r>
        <w:rPr>
          <w:rFonts w:ascii="Consolas" w:hAnsi="Consolas"/>
          <w:b w:val="0"/>
          <w:i w:val="0"/>
          <w:color w:val="1B5E8C"/>
          <w:sz w:val="19"/>
        </w:rPr>
        <w:t>SALESORDERS_SALESORDERITEM</w:t>
      </w:r>
      <w:r>
        <w:rPr>
          <w:b w:val="0"/>
          <w:i w:val="0"/>
          <w:sz w:val="20"/>
        </w:rPr>
        <w:t xml:space="preserve"> at 735,305 rows and </w:t>
      </w:r>
      <w:r>
        <w:rPr>
          <w:rFonts w:ascii="Consolas" w:hAnsi="Consolas"/>
          <w:b w:val="0"/>
          <w:i w:val="0"/>
          <w:color w:val="1B5E8C"/>
          <w:sz w:val="19"/>
        </w:rPr>
        <w:t>SALESORDERS_SALESORDER</w:t>
      </w:r>
      <w:r>
        <w:rPr>
          <w:b w:val="0"/>
          <w:i w:val="0"/>
          <w:sz w:val="20"/>
        </w:rPr>
        <w:t xml:space="preserve"> at 558,011 — together 1,293,316 rows, just over half of L1.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L2 — 14 tables, 11 of them dynamic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3528"/>
        <w:gridCol w:w="3528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Rows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SALESORDERS_SALESORDERITEM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735,305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dynamic table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SALESORDERS_SALESORDER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558,011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dynamic table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PRODUCT_PRODUCTDESCRIPTION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73,242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dynamic table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SALES_FORECAST_VS_ACTUAL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41,100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dynamic table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CRM_OPPORTUNITY_ACTIVITY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35,313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dynamic table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PRODUCT_PRODUCT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16,337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dynamic table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PRODUCT_PRODUCTGROUPTEXT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11,168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dynamic table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CRM_OPPORTUNITY_OPPORTUNITY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3,774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dynamic table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CUSTOMER_CUSTOMER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3,189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dynamic table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PRODUCT_PRODUCTGROUP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1,023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dynamic table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ATTAINMENT_PREDICTIONS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plain table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CRM_OPPORTUNITY_SALES_REP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dynamic table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SALES_REVENUE_FORECAST_METRICS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plain table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SALES_REVENUE_PREDICTIONS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plain table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1,478,495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14 objects, 11 dynamic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>The three plain tables are ML outputs, and their being plain is correct: a prediction is the result of a training run, not of a SQL refresh, so a dynamic table would be the wrong object. They are also tiny — 25 rows between them — and account for 0.002% of L2.</w:t>
      </w:r>
    </w:p>
    <w:p>
      <w:pPr>
        <w:keepNext/>
        <w:spacing w:before="160" w:after="40"/>
        <w:outlineLvl w:val="2"/>
      </w:pPr>
      <w:r>
        <w:rPr>
          <w:b/>
          <w:color w:val="29B5E8"/>
          <w:sz w:val="20"/>
        </w:rPr>
        <w:t>Ten names appear in both L1 and L2 with identical row counts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Object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Rows (both layers)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SALESORDERS_SALESORDERITEM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735,305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SALESORDERS_SALESORDER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558,011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PRODUCT_PRODUCTDESCRIPTION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73,242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CRM_OPPORTUNITY_ACTIVITY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35,313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PRODUCT_PRODUCT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16,337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PRODUCT_PRODUCTGROUPTEXT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11,168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CRM_OPPORTUNITY_OPPORTUNITY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3,774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CUSTOMER_CUSTOMER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3,189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PRODUCT_PRODUCTGROUP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1,023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CRM_OPPORTUNITY_SALES_REP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1,437,370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>That is 97.2% of all L2 rows and 56.3% of all L1 rows, stored twice. Identical counts do not by themselves prove identical content — the L2 dynamic table may rename or recast columns — but they do establish that L2 is not filtering or aggregating these ten. The transform is projection, and a projection over a materialised table costs storage that a projection over a view would not.</w:t>
      </w:r>
    </w:p>
    <w:p>
      <w:pPr>
        <w:spacing w:after="120"/>
      </w:pPr>
      <w:r>
        <w:rPr>
          <w:b w:val="0"/>
          <w:i w:val="0"/>
          <w:sz w:val="20"/>
        </w:rPr>
        <w:t xml:space="preserve">Only four L2 objects have no L1 counterpart: </w:t>
      </w:r>
      <w:r>
        <w:rPr>
          <w:rFonts w:ascii="Consolas" w:hAnsi="Consolas"/>
          <w:b w:val="0"/>
          <w:i w:val="0"/>
          <w:color w:val="1B5E8C"/>
          <w:sz w:val="19"/>
        </w:rPr>
        <w:t>SALES_FORECAST_VS_ACTUAL</w:t>
      </w:r>
      <w:r>
        <w:rPr>
          <w:b w:val="0"/>
          <w:i w:val="0"/>
          <w:sz w:val="20"/>
        </w:rPr>
        <w:t xml:space="preserve">, which derives from L1's </w:t>
      </w:r>
      <w:r>
        <w:rPr>
          <w:rFonts w:ascii="Consolas" w:hAnsi="Consolas"/>
          <w:b w:val="0"/>
          <w:i w:val="0"/>
          <w:color w:val="1B5E8C"/>
          <w:sz w:val="19"/>
        </w:rPr>
        <w:t>SALES_FORECAST</w:t>
      </w:r>
      <w:r>
        <w:rPr>
          <w:b w:val="0"/>
          <w:i w:val="0"/>
          <w:sz w:val="20"/>
        </w:rPr>
        <w:t>, and the three ML tables. Together they are 41,125 rows — everything in L2 that is genuinely new.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The app reads one layer</w:t>
      </w:r>
    </w:p>
    <w:p>
      <w:pPr>
        <w:spacing w:after="120"/>
      </w:pPr>
      <w:r>
        <w:rPr>
          <w:b w:val="0"/>
          <w:i w:val="0"/>
          <w:sz w:val="20"/>
        </w:rPr>
        <w:t xml:space="preserve">The Express server's </w:t>
      </w:r>
      <w:r>
        <w:rPr>
          <w:rFonts w:ascii="Consolas" w:hAnsi="Consolas"/>
          <w:b w:val="0"/>
          <w:i w:val="0"/>
          <w:color w:val="1B5E8C"/>
          <w:sz w:val="19"/>
        </w:rPr>
        <w:t>api.ts</w:t>
      </w:r>
      <w:r>
        <w:rPr>
          <w:b w:val="0"/>
          <w:i w:val="0"/>
          <w:sz w:val="20"/>
        </w:rPr>
        <w:t xml:space="preserve"> holds all SQL. Its </w:t>
      </w:r>
      <w:r>
        <w:rPr>
          <w:rFonts w:ascii="Consolas" w:hAnsi="Consolas"/>
          <w:b w:val="0"/>
          <w:i w:val="0"/>
          <w:color w:val="1B5E8C"/>
          <w:sz w:val="19"/>
        </w:rPr>
        <w:t>FROM</w:t>
      </w:r>
      <w:r>
        <w:rPr>
          <w:b w:val="0"/>
          <w:i w:val="0"/>
          <w:sz w:val="20"/>
        </w:rPr>
        <w:t>-clause census: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FROM clauses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SALES_360_L2.CRM_OPPORTUNITY_OPPORTUNITY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16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SALES_360_L2.SALESORDERS_SALESORDER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SALES_360_L2.CRM_OPPORTUNITY_SALES_REP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SALES_360_L2.SALES_FORECAST_VS_ACTUAL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SALES_360_L2.SALESORDERS_SALESORDERITEM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SALES_360_L2.CUSTOMER_CUSTOMER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SALES_360_L2.CRM_OPPORTUNITY_ACTIVITY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SALES_360_L2.SALES_REVENUE_PREDICTIONS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SALES_360_L2.SALES_REVENUE_FORECAST_METRICS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SALES_360_L2.ATTAINMENT_PREDICTIONS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53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Reads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L2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53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L1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L0 shares, directly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>This is a cleaner dependency graph than Finance 360, whose app splits its reads roughly evenly between L2 and the L0 shares. Here there is exactly one contract: the app depends on L2 and on nothing else, so an L1 or L0 change can only reach the app through a dynamic table.</w:t>
      </w:r>
    </w:p>
    <w:p>
      <w:pPr>
        <w:spacing w:after="120"/>
      </w:pPr>
      <w:r>
        <w:rPr>
          <w:b w:val="0"/>
          <w:i w:val="0"/>
          <w:sz w:val="20"/>
        </w:rPr>
        <w:t>It also means the app cannot demonstrate zero-copy directly — no page queries a share — and that the 31 L1 tables exist to feed 11 dynamic tables and nothing else. Ten L2 objects carry the 53 reads; four of the 14 are unread by the app.</w:t>
      </w:r>
    </w:p>
    <w:p>
      <w:pPr>
        <w:spacing w:after="120"/>
      </w:pPr>
      <w:r>
        <w:rPr>
          <w:rFonts w:ascii="Consolas" w:hAnsi="Consolas"/>
          <w:b w:val="0"/>
          <w:i w:val="0"/>
          <w:color w:val="1B5E8C"/>
          <w:sz w:val="19"/>
        </w:rPr>
        <w:t>CRM_OPPORTUNITY_OPPORTUNITY</w:t>
      </w:r>
      <w:r>
        <w:rPr>
          <w:b w:val="0"/>
          <w:i w:val="0"/>
          <w:sz w:val="20"/>
        </w:rPr>
        <w:t xml:space="preserve"> at 16 clauses is the most-read object in the system, which is consistent with an application whose centre of gravity is the pipeline rather than the order book.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Semantic objects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3528"/>
        <w:gridCol w:w="3528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Artefact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Scale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SEMANTIC.SAP_SALES_360_ANALYTICS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semantic view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64 tables, 369 dimensions, 69 facts, 138 metrics, 44 relationships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@SEMANTIC.SEMANTIC_STAGE/sap_sales_360_semantic.yaml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Analyst stage model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10 tables, 64 dimensions, 9 facts, 0 measures, 0 verified queries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SEMANTIC.SAP_SALES_360_AGENT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Cortex Agent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1 tool,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auto</w:t>
            </w:r>
            <w:r>
              <w:rPr>
                <w:b w:val="0"/>
                <w:sz w:val="17"/>
              </w:rPr>
              <w:t xml:space="preserve"> orchestration,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VERSION$1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The asymmetry is the point. The semantic view declares 64 logical tables against a 14-table L2 — it is reaching across L1 and the product master facets. The stage model declares 10, and those ten are the commercially meaningful core: </w:t>
      </w:r>
      <w:r>
        <w:rPr>
          <w:rFonts w:ascii="Consolas" w:hAnsi="Consolas"/>
          <w:b w:val="0"/>
          <w:i w:val="0"/>
          <w:color w:val="1B5E8C"/>
          <w:sz w:val="19"/>
        </w:rPr>
        <w:t>SALESORDER</w:t>
      </w:r>
      <w:r>
        <w:rPr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1B5E8C"/>
          <w:sz w:val="19"/>
        </w:rPr>
        <w:t>SALESORDERITEM</w:t>
      </w:r>
      <w:r>
        <w:rPr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1B5E8C"/>
          <w:sz w:val="19"/>
        </w:rPr>
        <w:t>CUSTOMER</w:t>
      </w:r>
      <w:r>
        <w:rPr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1B5E8C"/>
          <w:sz w:val="19"/>
        </w:rPr>
        <w:t>PRODUCT</w:t>
      </w:r>
      <w:r>
        <w:rPr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1B5E8C"/>
          <w:sz w:val="19"/>
        </w:rPr>
        <w:t>PRODUCT_DESCRIPTION</w:t>
      </w:r>
      <w:r>
        <w:rPr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1B5E8C"/>
          <w:sz w:val="19"/>
        </w:rPr>
        <w:t>PRODUCT_GROUP</w:t>
      </w:r>
      <w:r>
        <w:rPr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1B5E8C"/>
          <w:sz w:val="19"/>
        </w:rPr>
        <w:t>PRODUCT_GROUP_TEXT</w:t>
      </w:r>
      <w:r>
        <w:rPr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1B5E8C"/>
          <w:sz w:val="19"/>
        </w:rPr>
        <w:t>SFDC_OPPORTUNITY</w:t>
      </w:r>
      <w:r>
        <w:rPr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1B5E8C"/>
          <w:sz w:val="19"/>
        </w:rPr>
        <w:t>ACTIVITY</w:t>
      </w:r>
      <w:r>
        <w:rPr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1B5E8C"/>
          <w:sz w:val="19"/>
        </w:rPr>
        <w:t>SALES_REP</w:t>
      </w:r>
      <w:r>
        <w:rPr>
          <w:b w:val="0"/>
          <w:i w:val="0"/>
          <w:sz w:val="20"/>
        </w:rPr>
        <w:t>.</w:t>
      </w:r>
    </w:p>
    <w:p>
      <w:pPr>
        <w:spacing w:after="120"/>
      </w:pPr>
      <w:r>
        <w:rPr>
          <w:b/>
          <w:i w:val="0"/>
          <w:sz w:val="20"/>
        </w:rPr>
        <w:t xml:space="preserve">The agent's one tool is </w:t>
      </w:r>
      <w:r>
        <w:rPr>
          <w:rFonts w:ascii="Consolas" w:hAnsi="Consolas"/>
          <w:b/>
          <w:i w:val="0"/>
          <w:color w:val="1B5E8C"/>
          <w:sz w:val="19"/>
        </w:rPr>
        <w:t>cortex_analyst_text_to_sql</w:t>
      </w:r>
      <w:r>
        <w:rPr>
          <w:b/>
          <w:i w:val="0"/>
          <w:sz w:val="20"/>
        </w:rPr>
        <w:t>, so the agent reads the stage model.</w:t>
      </w:r>
      <w:r>
        <w:rPr>
          <w:b w:val="0"/>
          <w:i w:val="0"/>
          <w:sz w:val="20"/>
        </w:rPr>
        <w:t xml:space="preserve"> The 369-dimension semantic view is not what answers a question asked through the agent. Editing it to fix a bad agent answer will have no effect. This is the highest-value operational fact in the stack and it is developed in the semantic layer (08-semantic-layer.md#which-artefact-to-edit).</w:t>
      </w:r>
    </w:p>
    <w:p>
      <w:pPr>
        <w:spacing w:after="120"/>
      </w:pPr>
      <w:r>
        <w:rPr>
          <w:b w:val="0"/>
          <w:i w:val="0"/>
          <w:sz w:val="20"/>
        </w:rPr>
        <w:t xml:space="preserve">Note also that the stage model declares 9 facts and </w:t>
      </w:r>
      <w:r>
        <w:rPr>
          <w:b/>
          <w:i w:val="0"/>
          <w:sz w:val="20"/>
        </w:rPr>
        <w:t>0 measures</w:t>
      </w:r>
      <w:r>
        <w:rPr>
          <w:b w:val="0"/>
          <w:i w:val="0"/>
          <w:sz w:val="20"/>
        </w:rPr>
        <w:t>. An Analyst model with no measures has no aggregations of its own to offer, so every aggregate in an answer is one the generated SQL invents.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The forecast page has no future to forecast</w:t>
      </w:r>
    </w:p>
    <w:p>
      <w:pPr>
        <w:spacing w:after="120"/>
      </w:pPr>
      <w:r>
        <w:rPr>
          <w:b w:val="0"/>
          <w:i w:val="0"/>
          <w:sz w:val="20"/>
        </w:rPr>
        <w:t xml:space="preserve">The application's Sales Forecast page reads </w:t>
      </w:r>
      <w:r>
        <w:rPr>
          <w:rFonts w:ascii="Consolas" w:hAnsi="Consolas"/>
          <w:b w:val="0"/>
          <w:i w:val="0"/>
          <w:color w:val="1B5E8C"/>
          <w:sz w:val="19"/>
        </w:rPr>
        <w:t>SALES_FORECAST_VS_ACTUAL</w:t>
      </w:r>
      <w:r>
        <w:rPr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1B5E8C"/>
          <w:sz w:val="19"/>
        </w:rPr>
        <w:t>SALES_REVENUE_PREDICTIONS</w:t>
      </w:r>
      <w:r>
        <w:rPr>
          <w:b w:val="0"/>
          <w:i w:val="0"/>
          <w:sz w:val="20"/>
        </w:rPr>
        <w:t xml:space="preserve">, </w:t>
      </w:r>
      <w:r>
        <w:rPr>
          <w:rFonts w:ascii="Consolas" w:hAnsi="Consolas"/>
          <w:b w:val="0"/>
          <w:i w:val="0"/>
          <w:color w:val="1B5E8C"/>
          <w:sz w:val="19"/>
        </w:rPr>
        <w:t>SALES_REVENUE_FORECAST_METRICS</w:t>
      </w:r>
      <w:r>
        <w:rPr>
          <w:b w:val="0"/>
          <w:i w:val="0"/>
          <w:sz w:val="20"/>
        </w:rPr>
        <w:t xml:space="preserve"> and </w:t>
      </w:r>
      <w:r>
        <w:rPr>
          <w:rFonts w:ascii="Consolas" w:hAnsi="Consolas"/>
          <w:b w:val="0"/>
          <w:i w:val="0"/>
          <w:color w:val="1B5E8C"/>
          <w:sz w:val="19"/>
        </w:rPr>
        <w:t>ATTAINMENT_PREDICTIONS</w:t>
      </w:r>
      <w:r>
        <w:rPr>
          <w:b w:val="0"/>
          <w:i w:val="0"/>
          <w:sz w:val="20"/>
        </w:rPr>
        <w:t xml:space="preserve"> — the ML outputs plus the historical series.</w:t>
      </w:r>
    </w:p>
    <w:p>
      <w:pPr>
        <w:spacing w:after="120"/>
      </w:pPr>
      <w:r>
        <w:rPr>
          <w:b w:val="0"/>
          <w:i w:val="0"/>
          <w:sz w:val="20"/>
        </w:rPr>
        <w:t xml:space="preserve">Its inputs stop before the present. </w:t>
      </w:r>
      <w:r>
        <w:rPr>
          <w:rFonts w:ascii="Consolas" w:hAnsi="Consolas"/>
          <w:b w:val="0"/>
          <w:i w:val="0"/>
          <w:color w:val="1B5E8C"/>
          <w:sz w:val="19"/>
        </w:rPr>
        <w:t>SALES_FORECAST_VS_ACTUAL</w:t>
      </w:r>
      <w:r>
        <w:rPr>
          <w:b w:val="0"/>
          <w:i w:val="0"/>
          <w:sz w:val="20"/>
        </w:rPr>
        <w:t xml:space="preserve"> ends 2025-12-01. The opportunity close dates end 2026-08-16. Verified on 2026-09-21, </w:t>
      </w:r>
      <w:r>
        <w:rPr>
          <w:b/>
          <w:i w:val="0"/>
          <w:sz w:val="20"/>
        </w:rPr>
        <w:t>zero of the 3,201 open opportunities have a future close date</w:t>
      </w:r>
      <w:r>
        <w:rPr>
          <w:b w:val="0"/>
          <w:i w:val="0"/>
          <w:sz w:val="20"/>
        </w:rPr>
        <w:t xml:space="preserve"> and all $1,903,302,819 of open pipeline is past due.</w:t>
      </w:r>
    </w:p>
    <w:p>
      <w:pPr>
        <w:spacing w:after="120"/>
      </w:pPr>
      <w:r>
        <w:rPr>
          <w:b w:val="0"/>
          <w:i w:val="0"/>
          <w:sz w:val="20"/>
        </w:rPr>
        <w:t>The page therefore demonstrates the mechanism — a prediction table, an attainment series, a metrics table — against a horizon that has already elapsed. It is a method demonstration, not a forward call, and it should be presented as one. The finding is recorded with a severity in findings (05-findings.md#the-open-pipeline-is-entirely-past-due).</w:t>
      </w:r>
    </w:p>
    <w:p>
      <w:pPr>
        <w:spacing w:before="80" w:after="160"/>
        <w:jc w:val="center"/>
      </w:pPr>
      <w:r>
        <w:rPr>
          <w:color w:val="C8D4DE"/>
          <w:sz w:val="12"/>
        </w:rPr>
        <w:t>──────────────────────────────────────────────────────────</w:t>
      </w:r>
    </w:p>
    <w:p>
      <w:pPr>
        <w:keepNext/>
        <w:spacing w:before="240" w:after="60"/>
        <w:outlineLvl w:val="1"/>
      </w:pPr>
      <w:r>
        <w:rPr>
          <w:b/>
          <w:color w:val="1B3A57"/>
          <w:sz w:val="23"/>
        </w:rPr>
        <w:t>Application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7056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Client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React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Server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Express + TypeScript,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api.ts</w:t>
            </w:r>
            <w:r>
              <w:rPr>
                <w:b w:val="0"/>
                <w:sz w:val="17"/>
              </w:rPr>
              <w:t xml:space="preserve"> holding all SQL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Packaging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Snowflake Native App on Snowpark Container Services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Pages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Data layer read</w:t>
            </w:r>
          </w:p>
        </w:tc>
        <w:tc>
          <w:tcPr>
            <w:tcW w:type="dxa" w:w="7056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SALES_360_L2</w:t>
            </w:r>
            <w:r>
              <w:rPr>
                <w:b w:val="0"/>
                <w:sz w:val="17"/>
              </w:rPr>
              <w:t xml:space="preserve"> only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Deployed URL</w:t>
            </w:r>
          </w:p>
        </w:tc>
        <w:tc>
          <w:tcPr>
            <w:tcW w:type="dxa" w:w="7056"/>
            <w:shd w:val="clear" w:fill="EEF4F8"/>
          </w:tcPr>
          <w:p>
            <w:pPr>
              <w:spacing w:after="20"/>
            </w:pPr>
            <w:r/>
            <w:r>
              <w:rPr>
                <w:rFonts w:ascii="Consolas" w:hAnsi="Consolas"/>
                <w:b w:val="0"/>
                <w:color w:val="1B5E8C"/>
                <w:sz w:val="16"/>
              </w:rPr>
              <w:t>mrzht4-sfsenorthamerica-dfreriks-aws1-w2.snowflakecomputing.app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880"/>
        <w:gridCol w:w="3528"/>
        <w:gridCol w:w="3528"/>
      </w:tblGrid>
      <w:tr>
        <w:trPr>
          <w:cantSplit/>
          <w:tblHeader/>
        </w:trPr>
        <w:tc>
          <w:tcPr>
            <w:tcW w:type="dxa" w:w="2880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Page</w:t>
            </w:r>
          </w:p>
        </w:tc>
        <w:tc>
          <w:tcPr>
            <w:tcW w:type="dxa" w:w="3528"/>
            <w:shd w:val="clear" w:fill="1B3A57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Principal L2 objects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Ask Cortex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 xml:space="preserve">facts from the L2 tables of each page, sent to </w:t>
            </w:r>
            <w:r>
              <w:rPr>
                <w:rFonts w:ascii="Consolas" w:hAnsi="Consolas"/>
                <w:b w:val="0"/>
                <w:color w:val="1B5E8C"/>
                <w:sz w:val="16"/>
              </w:rPr>
              <w:t>SNOWFLAKE.CORTEX.COMPLETE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Executive Dashboard (landing page)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opportunity, sales order, sales rep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Sales Funnel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opportunity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Customer Health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customer, sales order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Products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product, order item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Rep Leaderboard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sales rep, opportunity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Sales Forecast</w:t>
            </w:r>
          </w:p>
        </w:tc>
        <w:tc>
          <w:tcPr>
            <w:tcW w:type="dxa" w:w="352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forecast vs actual, three ML tables</w:t>
            </w:r>
          </w:p>
        </w:tc>
      </w:tr>
      <w:tr>
        <w:trPr>
          <w:cantSplit/>
        </w:trPr>
        <w:tc>
          <w:tcPr>
            <w:tcW w:type="dxa" w:w="2880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BDC Sources &amp; Lineage</w:t>
            </w:r>
          </w:p>
        </w:tc>
        <w:tc>
          <w:tcPr>
            <w:tcW w:type="dxa" w:w="3528"/>
            <w:shd w:val="clear" w:fill="EEF4F8"/>
          </w:tcPr>
          <w:p>
            <w:pPr>
              <w:spacing w:after="20"/>
            </w:pPr>
            <w:r/>
            <w:r>
              <w:rPr>
                <w:b w:val="0"/>
                <w:sz w:val="17"/>
              </w:rPr>
              <w:t>static lineage of the BDC data products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0"/>
        </w:rPr>
        <w:t xml:space="preserve">The app opens on page 2 (Executive Dashboard). Page 1 (Ask Cortex) also appears as an "Ask Cortex about &lt;page&gt;" panel on the data pages; its queries live in </w:t>
      </w:r>
      <w:r>
        <w:rPr>
          <w:rFonts w:ascii="Consolas" w:hAnsi="Consolas"/>
          <w:b w:val="0"/>
          <w:i w:val="0"/>
          <w:color w:val="1B5E8C"/>
          <w:sz w:val="19"/>
        </w:rPr>
        <w:t>server/src/routes/askCortex.ts</w:t>
      </w:r>
      <w:r>
        <w:rPr>
          <w:b w:val="0"/>
          <w:i w:val="0"/>
          <w:sz w:val="20"/>
        </w:rPr>
        <w:t xml:space="preserve">. Pages 2–6 are conventional dashboards over L2. Page 7 is the forecast surface whose horizon caveat is above. The app no longer has a separate Ask the Agent page: natural-language questions to </w:t>
      </w:r>
      <w:r>
        <w:rPr>
          <w:rFonts w:ascii="Consolas" w:hAnsi="Consolas"/>
          <w:b w:val="0"/>
          <w:i w:val="0"/>
          <w:color w:val="1B5E8C"/>
          <w:sz w:val="19"/>
        </w:rPr>
        <w:t>SAP_SALES_360_AGENT</w:t>
      </w:r>
      <w:r>
        <w:rPr>
          <w:b w:val="0"/>
          <w:i w:val="0"/>
          <w:sz w:val="20"/>
        </w:rPr>
        <w:t xml:space="preserve"> are asked in Snowflake Intelligence, where the agent is bound to the stage model rather than to the semantic view.</w:t>
      </w:r>
    </w:p>
    <w:p>
      <w:pPr>
        <w:spacing w:after="120"/>
      </w:pPr>
      <w:r>
        <w:rPr>
          <w:b w:val="0"/>
          <w:i w:val="0"/>
          <w:sz w:val="20"/>
        </w:rPr>
        <w:t xml:space="preserve">All SQL lives in the server, so the </w:t>
      </w:r>
      <w:r>
        <w:rPr>
          <w:rFonts w:ascii="Consolas" w:hAnsi="Consolas"/>
          <w:b w:val="0"/>
          <w:i w:val="0"/>
          <w:color w:val="1B5E8C"/>
          <w:sz w:val="19"/>
        </w:rPr>
        <w:t>FROM</w:t>
      </w:r>
      <w:r>
        <w:rPr>
          <w:b w:val="0"/>
          <w:i w:val="0"/>
          <w:sz w:val="20"/>
        </w:rPr>
        <w:t>-clause census above is a complete inventory of what the application reads.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