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Sales 360</w:t>
      </w:r>
    </w:p>
    <w:p>
      <w:pPr>
        <w:spacing w:after="40"/>
      </w:pPr>
      <w:r>
        <w:rPr>
          <w:b/>
          <w:color w:val="1B3A57"/>
          <w:sz w:val="44"/>
        </w:rPr>
        <w:t>Build steps</w:t>
      </w:r>
    </w:p>
    <w:p>
      <w:pPr>
        <w:spacing w:after="280"/>
      </w:pPr>
      <w:r>
        <w:rPr>
          <w:color w:val="5A6A7A"/>
          <w:sz w:val="19"/>
        </w:rPr>
        <w:t>Generated from docs/03-build-steps.md  ·  part 03</w:t>
      </w:r>
    </w:p>
    <w:p>
      <w:pPr>
        <w:spacing w:after="120"/>
      </w:pPr>
      <w:r>
        <w:rPr>
          <w:b w:val="0"/>
          <w:i w:val="0"/>
          <w:sz w:val="20"/>
        </w:rPr>
        <w:t>The order in which the stack was built, what each step produces, and the check that tells you the step worked.</w:t>
      </w:r>
    </w:p>
    <w:p>
      <w:pPr>
        <w:spacing w:after="120"/>
      </w:pPr>
      <w:r>
        <w:rPr>
          <w:b w:val="0"/>
          <w:i w:val="0"/>
          <w:sz w:val="20"/>
        </w:rPr>
        <w:t xml:space="preserve">Figures verified 2026-09-21 against account </w:t>
      </w:r>
      <w:r>
        <w:rPr>
          <w:rFonts w:ascii="Consolas" w:hAnsi="Consolas"/>
          <w:b w:val="0"/>
          <w:i w:val="0"/>
          <w:color w:val="1B5E8C"/>
          <w:sz w:val="19"/>
        </w:rPr>
        <w:t>MSB89522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0 — Confirm the L0 shares are readable</w:t>
      </w:r>
    </w:p>
    <w:p>
      <w:pPr>
        <w:spacing w:after="120"/>
      </w:pPr>
      <w:r>
        <w:rPr>
          <w:b w:val="0"/>
          <w:i w:val="0"/>
          <w:sz w:val="20"/>
        </w:rPr>
        <w:t xml:space="preserve">Before anything is built, establish that the SAP BDC Standard Data Products are mounted and that the role in use can read them. A share that is present but ungranted fails at the first </w:t>
      </w:r>
      <w:r>
        <w:rPr>
          <w:rFonts w:ascii="Consolas" w:hAnsi="Consolas"/>
          <w:b w:val="0"/>
          <w:i w:val="0"/>
          <w:color w:val="1B5E8C"/>
          <w:sz w:val="19"/>
        </w:rPr>
        <w:t>SELECT</w:t>
      </w:r>
      <w:r>
        <w:rPr>
          <w:b w:val="0"/>
          <w:i w:val="0"/>
          <w:sz w:val="20"/>
        </w:rPr>
        <w:t>, not at mount time.</w:t>
      </w:r>
    </w:p>
    <w:p>
      <w:pPr>
        <w:spacing w:after="120"/>
      </w:pPr>
      <w:r>
        <w:rPr>
          <w:b w:val="0"/>
          <w:i w:val="0"/>
          <w:sz w:val="20"/>
        </w:rPr>
        <w:t>The check is a row count against one share object. If it returns, the grant chain reaches the provider's storage and the rest of the build is Snowflake-local work.</w:t>
      </w:r>
    </w:p>
    <w:p>
      <w:pPr>
        <w:spacing w:after="120"/>
      </w:pPr>
      <w:r>
        <w:rPr>
          <w:b w:val="0"/>
          <w:i w:val="0"/>
          <w:sz w:val="20"/>
        </w:rPr>
        <w:t>Failure here is a provider-side or grant problem, not a modelling problem. Do not proceed to L1 until a count succeeds.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1 — L1 objects</w:t>
      </w:r>
    </w:p>
    <w:p>
      <w:pPr>
        <w:spacing w:after="120"/>
      </w:pPr>
      <w:r>
        <w:rPr>
          <w:b w:val="0"/>
          <w:i w:val="0"/>
          <w:sz w:val="20"/>
        </w:rPr>
        <w:t xml:space="preserve">L1 in this repository is </w:t>
      </w:r>
      <w:r>
        <w:rPr>
          <w:b/>
          <w:i w:val="0"/>
          <w:sz w:val="20"/>
        </w:rPr>
        <w:t>31 base tables</w:t>
      </w:r>
      <w:r>
        <w:rPr>
          <w:b w:val="0"/>
          <w:i w:val="0"/>
          <w:sz w:val="20"/>
        </w:rPr>
        <w:t xml:space="preserve"> in </w:t>
      </w:r>
      <w:r>
        <w:rPr>
          <w:rFonts w:ascii="Consolas" w:hAnsi="Consolas"/>
          <w:b w:val="0"/>
          <w:i w:val="0"/>
          <w:color w:val="1B5E8C"/>
          <w:sz w:val="19"/>
        </w:rPr>
        <w:t>SAP_SALES_360.SAP_BDC_L1</w:t>
      </w:r>
      <w:r>
        <w:rPr>
          <w:b w:val="0"/>
          <w:i w:val="0"/>
          <w:sz w:val="20"/>
        </w:rPr>
        <w:t>, one per SAP object, holding 2,551,850 rows.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master and classification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orders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CRM (opportunity, activity, sales rep)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Forecast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build creates each table and loads it from its L0 counterpart.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SELECT COUNT(*)</w:t>
      </w:r>
      <w:r>
        <w:rPr>
          <w:b w:val="0"/>
          <w:i w:val="0"/>
          <w:sz w:val="20"/>
        </w:rPr>
        <w:t xml:space="preserve"> per table, summed, equals 2,551,850; and </w:t>
      </w:r>
      <w:r>
        <w:rPr>
          <w:rFonts w:ascii="Consolas" w:hAnsi="Consolas"/>
          <w:b w:val="0"/>
          <w:i w:val="0"/>
          <w:color w:val="1B5E8C"/>
          <w:sz w:val="19"/>
        </w:rPr>
        <w:t>SHOW DYNAMIC TABLES IN SAP_BDC_L1</w:t>
      </w:r>
      <w:r>
        <w:rPr>
          <w:b w:val="0"/>
          <w:i w:val="0"/>
          <w:sz w:val="20"/>
        </w:rPr>
        <w:t xml:space="preserve"> returns zero rows, confirming every object is a plain table.</w:t>
      </w:r>
    </w:p>
    <w:p>
      <w:pPr>
        <w:spacing w:after="120"/>
      </w:pPr>
      <w:r>
        <w:rPr>
          <w:b w:val="0"/>
          <w:i w:val="0"/>
          <w:sz w:val="20"/>
        </w:rPr>
        <w:t xml:space="preserve">That second check passing is also the finding. A passthrough L1 would return zero dynamic tables </w:t>
      </w:r>
      <w:r>
        <w:rPr>
          <w:b w:val="0"/>
          <w:i w:val="0"/>
          <w:sz w:val="20"/>
        </w:rPr>
        <w:t>and</w:t>
      </w:r>
      <w:r>
        <w:rPr>
          <w:b w:val="0"/>
          <w:i w:val="0"/>
          <w:sz w:val="20"/>
        </w:rPr>
        <w:t xml:space="preserve"> zero base tables, because it would be views. This one returns 31 base tables, which is why findings (05-findings.md#l1-is-not-zero-copy) recommends converting the layer.</w:t>
      </w:r>
    </w:p>
    <w:p>
      <w:pPr>
        <w:spacing w:after="120"/>
      </w:pPr>
      <w:r>
        <w:rPr>
          <w:b w:val="0"/>
          <w:i w:val="0"/>
          <w:sz w:val="20"/>
        </w:rPr>
        <w:t>If you are rebuilding this stack rather than reproducing it, build L1 as views here instead. The downstream steps do not change: a dynamic table can select from a view exactly as it selects from a table.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2 — L2 dynamic tables</w:t>
      </w:r>
    </w:p>
    <w:p>
      <w:pPr>
        <w:spacing w:after="120"/>
      </w:pPr>
      <w:r>
        <w:rPr>
          <w:b w:val="0"/>
          <w:i w:val="0"/>
          <w:sz w:val="20"/>
        </w:rPr>
        <w:t xml:space="preserve">Eleven dynamic tables in </w:t>
      </w:r>
      <w:r>
        <w:rPr>
          <w:rFonts w:ascii="Consolas" w:hAnsi="Consolas"/>
          <w:b w:val="0"/>
          <w:i w:val="0"/>
          <w:color w:val="1B5E8C"/>
          <w:sz w:val="19"/>
        </w:rPr>
        <w:t>SAP_SALES_360.SALES_360_L2</w:t>
      </w:r>
      <w:r>
        <w:rPr>
          <w:b w:val="0"/>
          <w:i w:val="0"/>
          <w:sz w:val="20"/>
        </w:rPr>
        <w:t>, selecting from L1.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Dynamic table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Source grain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SALESORDERS_SALESORDERITEM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735,305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order line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558,011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order header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PRODUCT_PRODUCTDESCRIPTION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73,242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× language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SALES_FORECAST_VS_ACTUAL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41,100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period × forecast unit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CRM_OPPORTUNITY_ACTIVITY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35,313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activity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16,337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PRODUCT_PRODUCTGROUPTEXT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11,168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group × language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CRM_OPPORTUNITY_OPPORTUNITY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3,774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opportunity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CUSTOMER_CUSTOMER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3,189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1,023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group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CRM_OPPORTUNITY_SALES_REP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Ten of the eleven land on the same row count as their L1 source. Only </w:t>
      </w:r>
      <w:r>
        <w:rPr>
          <w:rFonts w:ascii="Consolas" w:hAnsi="Consolas"/>
          <w:b w:val="0"/>
          <w:i w:val="0"/>
          <w:color w:val="1B5E8C"/>
          <w:sz w:val="19"/>
        </w:rPr>
        <w:t>SALES_FORECAST_VS_ACTUAL</w:t>
      </w:r>
      <w:r>
        <w:rPr>
          <w:b w:val="0"/>
          <w:i w:val="0"/>
          <w:sz w:val="20"/>
        </w:rPr>
        <w:t xml:space="preserve"> is a genuine transform — it derives from L1's </w:t>
      </w:r>
      <w:r>
        <w:rPr>
          <w:rFonts w:ascii="Consolas" w:hAnsi="Consolas"/>
          <w:b w:val="0"/>
          <w:i w:val="0"/>
          <w:color w:val="1B5E8C"/>
          <w:sz w:val="19"/>
        </w:rPr>
        <w:t>SALES_FORECAST</w:t>
      </w:r>
      <w:r>
        <w:rPr>
          <w:b w:val="0"/>
          <w:i w:val="0"/>
          <w:sz w:val="20"/>
        </w:rPr>
        <w:t>, also 41,100 rows, by joining actuals onto the forecast series.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SHOW DYNAMIC TABLES IN SALES_360_L2</w:t>
      </w:r>
      <w:r>
        <w:rPr>
          <w:b w:val="0"/>
          <w:i w:val="0"/>
          <w:sz w:val="20"/>
        </w:rPr>
        <w:t xml:space="preserve"> returns 11 names, and the summed row count across all 14 L2 objects equals 1,478,495.</w:t>
      </w:r>
    </w:p>
    <w:p>
      <w:pPr>
        <w:spacing w:after="120"/>
      </w:pPr>
      <w:r>
        <w:rPr>
          <w:b/>
          <w:i w:val="0"/>
          <w:sz w:val="20"/>
        </w:rPr>
        <w:t>Second check, and the one worth writing down:</w:t>
      </w:r>
      <w:r>
        <w:rPr>
          <w:b w:val="0"/>
          <w:i w:val="0"/>
          <w:sz w:val="20"/>
        </w:rPr>
        <w:t xml:space="preserve"> compare row counts between L1 and L2 for the ten shared names. All ten match, totalling 1,437,370 rows. That equality is the duplication finding — the check that confirms the build is also the check that exposes the storage cost.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3 — The three ML output tables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What it holds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ATTAINMENT_PREDICTIONS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predicted attainment by period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SALES_REVENUE_PREDICTIONS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predicted revenue by period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SALES_REVENUE_FORECAST_METRICS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 quality metrics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These are plain tables, written by a training and inference run rather than refreshed by SQL. That is the correct object type: a dynamic table would recompute a projection, not retrain a model.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the three tables exist, are not returned by </w:t>
      </w:r>
      <w:r>
        <w:rPr>
          <w:rFonts w:ascii="Consolas" w:hAnsi="Consolas"/>
          <w:b w:val="0"/>
          <w:i w:val="0"/>
          <w:color w:val="1B5E8C"/>
          <w:sz w:val="19"/>
        </w:rPr>
        <w:t>SHOW DYNAMIC TABLES</w:t>
      </w:r>
      <w:r>
        <w:rPr>
          <w:b w:val="0"/>
          <w:i w:val="0"/>
          <w:sz w:val="20"/>
        </w:rPr>
        <w:t>, and hold 12, 6 and 7 rows respectively.</w:t>
      </w:r>
    </w:p>
    <w:p>
      <w:pPr>
        <w:spacing w:after="120"/>
      </w:pPr>
      <w:r>
        <w:rPr>
          <w:b/>
          <w:i w:val="0"/>
          <w:sz w:val="20"/>
        </w:rPr>
        <w:t>Caveat to record at this step, not later:</w:t>
      </w:r>
      <w:r>
        <w:rPr>
          <w:b w:val="0"/>
          <w:i w:val="0"/>
          <w:sz w:val="20"/>
        </w:rPr>
        <w:t xml:space="preserve"> the prediction horizon is bounded by the input series, which ends 2025-12-01. Predictions produced from it do not reach 2026-09-21. Note it in the demo script rather than discovering it on a call.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4 — The semantic view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SAP_SALES_360.SEMANTIC.SAP_SALES_360_ANALYTICS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Logical tables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Dimensions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369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Metrics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138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Relationships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DESCRIBE SEMANTIC VIEW</w:t>
      </w:r>
      <w:r>
        <w:rPr>
          <w:b w:val="0"/>
          <w:i w:val="0"/>
          <w:sz w:val="20"/>
        </w:rPr>
        <w:t xml:space="preserve"> returns those five tallies.</w:t>
      </w:r>
    </w:p>
    <w:p>
      <w:pPr>
        <w:spacing w:after="120"/>
      </w:pPr>
      <w:r>
        <w:rPr>
          <w:b w:val="0"/>
          <w:i w:val="0"/>
          <w:sz w:val="20"/>
        </w:rPr>
        <w:t xml:space="preserve">Read the tallies for what they are. 64 logical tables against a 14-object L2 means the view reaches beyond L2, and 369 dimensions is a consequence of SAP objects being wide — every retained column becomes a dimension. It is a count of rows returned by </w:t>
      </w:r>
      <w:r>
        <w:rPr>
          <w:rFonts w:ascii="Consolas" w:hAnsi="Consolas"/>
          <w:b w:val="0"/>
          <w:i w:val="0"/>
          <w:color w:val="1B5E8C"/>
          <w:sz w:val="19"/>
        </w:rPr>
        <w:t>DESCRIBE</w:t>
      </w:r>
      <w:r>
        <w:rPr>
          <w:b w:val="0"/>
          <w:i w:val="0"/>
          <w:sz w:val="20"/>
        </w:rPr>
        <w:t>, not a count of curated, documented dimensions. The 138 metrics are the part that carries real modelling effort.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5 — The Cortex Analyst stage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@SAP_SALES_360.SEMANTIC.SEMANTIC_STAGE/sap_sales_360_semantic.yaml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Model name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SAP_SALES_360_ANALYTICS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Base tables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Dimensions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Measures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Verified queries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Base tables: </w:t>
      </w:r>
      <w:r>
        <w:rPr>
          <w:rFonts w:ascii="Consolas" w:hAnsi="Consolas"/>
          <w:b w:val="0"/>
          <w:i w:val="0"/>
          <w:color w:val="1B5E8C"/>
          <w:sz w:val="19"/>
        </w:rPr>
        <w:t>SALESORDER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SALESORDERITEM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CUSTOMER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PRODUCT_DESCRIPTION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PRODUCT_GROUP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PRODUCT_GROUP_TEXT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SFDC_OPPORTUNITY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ACTIVITY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SALES_REP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GET</w:t>
      </w:r>
      <w:r>
        <w:rPr>
          <w:b w:val="0"/>
          <w:i w:val="0"/>
          <w:sz w:val="20"/>
        </w:rPr>
        <w:t xml:space="preserve"> the file from the stage and parse it. Confirm 10 tables and 64 dimensions.</w:t>
      </w:r>
    </w:p>
    <w:p>
      <w:pPr>
        <w:spacing w:after="120"/>
      </w:pPr>
      <w:r>
        <w:rPr>
          <w:b/>
          <w:i w:val="0"/>
          <w:sz w:val="20"/>
        </w:rPr>
        <w:t>The step is not finished.</w:t>
      </w:r>
      <w:r>
        <w:rPr>
          <w:b w:val="0"/>
          <w:i w:val="0"/>
          <w:sz w:val="20"/>
        </w:rPr>
        <w:t xml:space="preserve"> Zero verified queries means nothing in the model pins a correct answer to a known question, and zero measures means the model offers no aggregations of its own. Both are recorded as gaps in findings (05-findings.md#zero-verified-queries-on-the-stage-model), with the queries to add first listed in the analyst and agent layer (07-analyst-and-agent.md#the-queries-to-add-first).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6 — The Cortex Agent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SAP_SALES_360.SEMANTIC.SAP_SALES_360_AGENT</w:t>
      </w:r>
      <w:r>
        <w:rPr>
          <w:b w:val="0"/>
          <w:i w:val="0"/>
          <w:sz w:val="20"/>
        </w:rPr>
        <w:t>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Analytics Agent for SAP Sales 360 Dynamic Tables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Versions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VERSION$1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Default version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LAST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Orchestration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auto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Tools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1 —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cortex_analyst_text_to_sql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DESCRIBE AGENT</w:t>
      </w:r>
      <w:r>
        <w:rPr>
          <w:b w:val="0"/>
          <w:i w:val="0"/>
          <w:sz w:val="20"/>
        </w:rPr>
        <w:t xml:space="preserve"> returns one tool and </w:t>
      </w:r>
      <w:r>
        <w:rPr>
          <w:rFonts w:ascii="Consolas" w:hAnsi="Consolas"/>
          <w:b w:val="0"/>
          <w:i w:val="0"/>
          <w:color w:val="1B5E8C"/>
          <w:sz w:val="19"/>
        </w:rPr>
        <w:t>auto</w:t>
      </w:r>
      <w:r>
        <w:rPr>
          <w:b w:val="0"/>
          <w:i w:val="0"/>
          <w:sz w:val="20"/>
        </w:rPr>
        <w:t xml:space="preserve"> orchestration.</w:t>
      </w:r>
    </w:p>
    <w:p>
      <w:pPr>
        <w:spacing w:after="120"/>
      </w:pPr>
      <w:r>
        <w:rPr>
          <w:b w:val="0"/>
          <w:i w:val="0"/>
          <w:sz w:val="20"/>
        </w:rPr>
        <w:t>One tool means one routing decision, which is the simplest possible agent and the easiest to reason about: every question becomes text-to-SQL against the stage model. There is no search tool, so the agent cannot answer from documentation, and no custom tool, so it cannot call out.</w:t>
      </w:r>
    </w:p>
    <w:p>
      <w:pPr>
        <w:spacing w:after="120"/>
      </w:pPr>
      <w:r>
        <w:rPr>
          <w:b w:val="0"/>
          <w:i w:val="0"/>
          <w:sz w:val="20"/>
        </w:rPr>
        <w:t>It also means the agent inherits every limitation of the stage model, including the zero verified queries from step 5.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7 — The application</w:t>
      </w:r>
    </w:p>
    <w:p>
      <w:pPr>
        <w:spacing w:after="120"/>
      </w:pPr>
      <w:r>
        <w:rPr>
          <w:b w:val="0"/>
          <w:i w:val="0"/>
          <w:sz w:val="20"/>
        </w:rPr>
        <w:t>A React client and an Express server, packaged as a Native App on Snowpark Container Services, seven pages.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CALL SALES_360_APP.CORE.APP_URL()</w:t>
      </w:r>
      <w:r>
        <w:rPr>
          <w:b w:val="0"/>
          <w:i w:val="0"/>
          <w:sz w:val="20"/>
        </w:rPr>
        <w:t xml:space="preserve"> returns the endpoint, and the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 xml:space="preserve">-clause census over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 xml:space="preserve"> shows 53 reads, all on </w:t>
      </w:r>
      <w:r>
        <w:rPr>
          <w:rFonts w:ascii="Consolas" w:hAnsi="Consolas"/>
          <w:b w:val="0"/>
          <w:i w:val="0"/>
          <w:color w:val="1B5E8C"/>
          <w:sz w:val="19"/>
        </w:rPr>
        <w:t>SALES_360_L2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>That census is the architectural check, not a code-style check. 53 on L2, 0 on L1, 0 on the shares means the app has exactly one data contract. Keep it that way: a single read against L1 or a share would double the surface that a schema change can break.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8 — Extract the facts</w:t>
      </w:r>
    </w:p>
    <w:p>
      <w:pPr>
        <w:spacing w:after="120"/>
      </w:pPr>
      <w:r>
        <w:rPr>
          <w:b w:val="0"/>
          <w:i w:val="0"/>
          <w:sz w:val="20"/>
        </w:rPr>
        <w:t>Every figure in this handbook comes from one extraction run against the live account, written to a JSON file with a provenance entry per fact.</w:t>
      </w:r>
    </w:p>
    <w:p>
      <w:pPr>
        <w:spacing w:after="120"/>
      </w:pPr>
      <w:r>
        <w:rPr>
          <w:b w:val="0"/>
          <w:i w:val="0"/>
          <w:sz w:val="20"/>
        </w:rPr>
        <w:t xml:space="preserve">The pattern matters more than the file. Each fact records the query or the parse that produced it — </w:t>
      </w:r>
      <w:r>
        <w:rPr>
          <w:rFonts w:ascii="Consolas" w:hAnsi="Consolas"/>
          <w:b w:val="0"/>
          <w:i w:val="0"/>
          <w:color w:val="1B5E8C"/>
          <w:sz w:val="19"/>
        </w:rPr>
        <w:t>INFORMATION_SCHEMA.TABLES</w:t>
      </w:r>
      <w:r>
        <w:rPr>
          <w:b w:val="0"/>
          <w:i w:val="0"/>
          <w:sz w:val="20"/>
        </w:rPr>
        <w:t xml:space="preserve"> for object inventories, </w:t>
      </w:r>
      <w:r>
        <w:rPr>
          <w:rFonts w:ascii="Consolas" w:hAnsi="Consolas"/>
          <w:b w:val="0"/>
          <w:i w:val="0"/>
          <w:color w:val="1B5E8C"/>
          <w:sz w:val="19"/>
        </w:rPr>
        <w:t>SHOW DYNAMIC TABLES</w:t>
      </w:r>
      <w:r>
        <w:rPr>
          <w:b w:val="0"/>
          <w:i w:val="0"/>
          <w:sz w:val="20"/>
        </w:rPr>
        <w:t xml:space="preserve"> for object types, </w:t>
      </w:r>
      <w:r>
        <w:rPr>
          <w:rFonts w:ascii="Consolas" w:hAnsi="Consolas"/>
          <w:b w:val="0"/>
          <w:i w:val="0"/>
          <w:color w:val="1B5E8C"/>
          <w:sz w:val="19"/>
        </w:rPr>
        <w:t>DESCRIBE SEMANTIC VIEW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DESCRIBE AGENT</w:t>
      </w:r>
      <w:r>
        <w:rPr>
          <w:b w:val="0"/>
          <w:i w:val="0"/>
          <w:sz w:val="20"/>
        </w:rPr>
        <w:t xml:space="preserve"> for the AI layer,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 xml:space="preserve">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 xml:space="preserve"> clauses for the app, and aggregate SQL for the commercial figures.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the derived figures reconcile against the extracted ones without adjustment.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Derivation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289 won + 284 lost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573 closed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3,774 − 573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3,201 open, equal to the past-due count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Sum of the 8 pipeline stages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3,201 opportunities, $1,903,302,819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289 ÷ 573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50.4%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$203,263,038 ÷ $463,816,637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43.8%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Five independent paths, no residuals. If a rebuild breaks any one of them, the extraction is wrong before the documentation is.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Step 9 — Documentation and Word deliverables</w:t>
      </w:r>
    </w:p>
    <w:p>
      <w:pPr>
        <w:spacing w:after="120"/>
      </w:pPr>
      <w:r>
        <w:rPr>
          <w:b w:val="0"/>
          <w:i w:val="0"/>
          <w:sz w:val="20"/>
        </w:rPr>
        <w:t xml:space="preserve">The eight markdown documents in </w:t>
      </w:r>
      <w:r>
        <w:rPr>
          <w:rFonts w:ascii="Consolas" w:hAnsi="Consolas"/>
          <w:b w:val="0"/>
          <w:i w:val="0"/>
          <w:color w:val="1B5E8C"/>
          <w:sz w:val="19"/>
        </w:rPr>
        <w:t>docs/</w:t>
      </w:r>
      <w:r>
        <w:rPr>
          <w:b w:val="0"/>
          <w:i w:val="0"/>
          <w:sz w:val="20"/>
        </w:rPr>
        <w:t xml:space="preserve"> are the source of record. </w:t>
      </w:r>
      <w:r>
        <w:rPr>
          <w:rFonts w:ascii="Consolas" w:hAnsi="Consolas"/>
          <w:b w:val="0"/>
          <w:i w:val="0"/>
          <w:color w:val="1B5E8C"/>
          <w:sz w:val="19"/>
        </w:rPr>
        <w:t>tools/build_docs_docx.py</w:t>
      </w:r>
      <w:r>
        <w:rPr>
          <w:b w:val="0"/>
          <w:i w:val="0"/>
          <w:sz w:val="20"/>
        </w:rPr>
        <w:t xml:space="preserve"> renders them into </w:t>
      </w:r>
      <w:r>
        <w:rPr>
          <w:rFonts w:ascii="Consolas" w:hAnsi="Consolas"/>
          <w:b w:val="0"/>
          <w:i w:val="0"/>
          <w:color w:val="1B5E8C"/>
          <w:sz w:val="19"/>
        </w:rPr>
        <w:t>docs/docx/</w:t>
      </w:r>
      <w:r>
        <w:rPr>
          <w:b w:val="0"/>
          <w:i w:val="0"/>
          <w:sz w:val="20"/>
        </w:rPr>
        <w:t xml:space="preserve"> as eight part documents plus a combined handbook.</w:t>
      </w:r>
    </w:p>
    <w:p>
      <w:pPr>
        <w:spacing w:after="120"/>
      </w:pPr>
      <w:r>
        <w:rPr>
          <w:b/>
          <w:i w:val="0"/>
          <w:sz w:val="20"/>
        </w:rPr>
        <w:t>Check:</w:t>
      </w:r>
      <w:r>
        <w:rPr>
          <w:b w:val="0"/>
          <w:i w:val="0"/>
          <w:sz w:val="20"/>
        </w:rPr>
        <w:t xml:space="preserve"> nine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files, and the table-row count the renderer reports matches the count of GFM table rows in the sources.</w:t>
      </w:r>
    </w:p>
    <w:p>
      <w:pPr>
        <w:spacing w:after="120"/>
      </w:pPr>
      <w:r>
        <w:rPr>
          <w:b w:val="0"/>
          <w:i w:val="0"/>
          <w:sz w:val="20"/>
        </w:rPr>
        <w:t xml:space="preserve">That second check exists because of a specific failure mode. GFM does not require leading and trailing pipes on table rows, and this doc set omits them on most rows. A parser that requires them drops those rows </w:t>
      </w:r>
      <w:r>
        <w:rPr>
          <w:b/>
          <w:i w:val="0"/>
          <w:sz w:val="20"/>
        </w:rPr>
        <w:t>silently</w:t>
      </w:r>
      <w:r>
        <w:rPr>
          <w:b w:val="0"/>
          <w:i w:val="0"/>
          <w:sz w:val="20"/>
        </w:rPr>
        <w:t xml:space="preserve"> — no error, just a shorter table in a document nobody diffs cell by cell. The renderer's </w:t>
      </w:r>
      <w:r>
        <w:rPr>
          <w:rFonts w:ascii="Consolas" w:hAnsi="Consolas"/>
          <w:b w:val="0"/>
          <w:i w:val="0"/>
          <w:color w:val="1B5E8C"/>
          <w:sz w:val="19"/>
        </w:rPr>
        <w:t>split_row</w:t>
      </w:r>
      <w:r>
        <w:rPr>
          <w:b w:val="0"/>
          <w:i w:val="0"/>
          <w:sz w:val="20"/>
        </w:rPr>
        <w:t xml:space="preserve"> tolerates missing pipes deliberately, and the row-count assertion is what proves it still does.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