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Sales 360</w:t>
      </w:r>
    </w:p>
    <w:p>
      <w:pPr>
        <w:spacing w:after="40"/>
      </w:pPr>
      <w:r>
        <w:rPr>
          <w:b/>
          <w:color w:val="1B3A57"/>
          <w:sz w:val="44"/>
        </w:rPr>
        <w:t>Execution</w:t>
      </w:r>
    </w:p>
    <w:p>
      <w:pPr>
        <w:spacing w:after="280"/>
      </w:pPr>
      <w:r>
        <w:rPr>
          <w:color w:val="5A6A7A"/>
          <w:sz w:val="19"/>
        </w:rPr>
        <w:t>Generated from docs/04-execution.md  ·  part 04</w:t>
      </w:r>
    </w:p>
    <w:p>
      <w:pPr>
        <w:spacing w:after="120"/>
      </w:pPr>
      <w:r>
        <w:rPr>
          <w:b w:val="0"/>
          <w:i w:val="0"/>
          <w:sz w:val="20"/>
        </w:rPr>
        <w:t>How to run, verify and refresh the stack, and what to check when a number looks wrong.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Prerequisites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MSB89522</w:t>
            </w:r>
            <w:r>
              <w:rPr>
                <w:b w:val="0"/>
                <w:sz w:val="17"/>
              </w:rPr>
              <w:t xml:space="preserve">, region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PUBLIC.AWS_US_WEST_2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Schemas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SAP_BDC_L1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SALES_360_L2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SEMANTIC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access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SAP BDC Standard Data Product shares mounted and granted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Warehouse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one, sized for a 735,305-row dynamic table refresh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python-docx</w:t>
            </w:r>
            <w:r>
              <w:rPr>
                <w:b w:val="0"/>
                <w:sz w:val="17"/>
              </w:rPr>
              <w:t xml:space="preserve"> for the Word deliverables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role in use needs read on the shares, ownership or equivalent on the three schemas, and usage on the semantic view and the agent.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Verifying a deployment</w:t>
      </w:r>
    </w:p>
    <w:p>
      <w:pPr>
        <w:spacing w:after="120"/>
      </w:pPr>
      <w:r>
        <w:rPr>
          <w:b w:val="0"/>
          <w:i w:val="0"/>
          <w:sz w:val="20"/>
        </w:rPr>
        <w:t>Five checks, in this order. Each one either passes cleanly or tells you which layer to look at.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1. Object inventory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Expected objects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Expected rows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SAP_BDC_L1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31 base tables, 0 dynamic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2,551,850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 tables — 11 dynamic, 3 plain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1,478,495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A short L1 count means a load did not run. A short L2 count means a dynamic table has not refreshed, which is a lag question rather than a load failure.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2. The duplication check</w:t>
      </w:r>
    </w:p>
    <w:p>
      <w:pPr>
        <w:spacing w:after="120"/>
      </w:pPr>
      <w:r>
        <w:rPr>
          <w:b w:val="0"/>
          <w:i w:val="0"/>
          <w:sz w:val="20"/>
        </w:rPr>
        <w:t>Compare row counts for the ten names present in both layers. All ten should match, totalling 1,437,370 rows.</w:t>
      </w:r>
    </w:p>
    <w:p>
      <w:pPr>
        <w:spacing w:after="120"/>
      </w:pPr>
      <w:r>
        <w:rPr>
          <w:b w:val="0"/>
          <w:i w:val="0"/>
          <w:sz w:val="20"/>
        </w:rPr>
        <w:t>This check has two readings. Matching counts mean the dynamic tables are current. They also mean 1,437,370 rows are stored twice — 97.2% of L2, 56.3% of L1. If you act on the recommendation in findings (05-findings.md#l1-is-not-zero-copy) and convert L1 to views, the counts should still match and the storage should not.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3. The commercial reconciliation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Derivation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Closed opportunities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573 (289 won + 284 lost)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Open opportunities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3,201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Sum over the 8 pipeline stages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3,201 opportunities, $1,903,302,819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 rate by count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50.4%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 rate by value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43.8%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stage sum reconciling to the open pipeline total is the most useful single check here, because it exercises the opportunity table's </w:t>
      </w:r>
      <w:r>
        <w:rPr>
          <w:rFonts w:ascii="Consolas" w:hAnsi="Consolas"/>
          <w:b w:val="0"/>
          <w:i w:val="0"/>
          <w:color w:val="1B5E8C"/>
          <w:sz w:val="19"/>
        </w:rPr>
        <w:t>IS_CLOSED</w:t>
      </w:r>
      <w:r>
        <w:rPr>
          <w:b w:val="0"/>
          <w:i w:val="0"/>
          <w:sz w:val="20"/>
        </w:rPr>
        <w:t xml:space="preserve"> flag, </w:t>
      </w:r>
      <w:r>
        <w:rPr>
          <w:rFonts w:ascii="Consolas" w:hAnsi="Consolas"/>
          <w:b w:val="0"/>
          <w:i w:val="0"/>
          <w:color w:val="1B5E8C"/>
          <w:sz w:val="19"/>
        </w:rPr>
        <w:t>STAGE_NAME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AMOUNT</w:t>
      </w:r>
      <w:r>
        <w:rPr>
          <w:b w:val="0"/>
          <w:i w:val="0"/>
          <w:sz w:val="20"/>
        </w:rPr>
        <w:t xml:space="preserve"> together.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4. The horizon check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-- open opportunities with a future close date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NOT IS_CLOSED AND CLOSE_DATE &gt;= CURRENT_DATE()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On 2026-09-21 this returns </w:t>
      </w:r>
      <w:r>
        <w:rPr>
          <w:b/>
          <w:i w:val="0"/>
          <w:sz w:val="20"/>
        </w:rPr>
        <w:t>0</w:t>
      </w:r>
      <w:r>
        <w:rPr>
          <w:b w:val="0"/>
          <w:i w:val="0"/>
          <w:sz w:val="20"/>
        </w:rPr>
        <w:t xml:space="preserve"> against 3,201 open opportunities. That is expected for this dataset and not a bug — see findings (05-findings.md#the-open-pipeline-is-entirely-past-due) — but it is the check to run before any demo that touches the forecast, because the answer changes the script.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5. The AI layer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Artefact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view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DESCRIBE SEMANTIC VIEW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 / 369 / 69 / 138 / 44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Stage model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GET</w:t>
            </w:r>
            <w:r>
              <w:rPr>
                <w:b w:val="0"/>
                <w:sz w:val="17"/>
              </w:rPr>
              <w:t xml:space="preserve"> and parse the YAML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 tables, 64 dimensions, 9 facts, 0 verified queries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Agent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DESCRIBE AGENT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1 tool,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auto</w:t>
            </w:r>
            <w:r>
              <w:rPr>
                <w:b w:val="0"/>
                <w:sz w:val="17"/>
              </w:rPr>
              <w:t xml:space="preserve"> orchestration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stage model returning 0 verified queries is the current state, not a failure of the check. It is a gap, recorded as one.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Data windows to keep in mind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Series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Ends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Age at 2026-09-21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</w:t>
            </w:r>
            <w:r>
              <w:rPr>
                <w:b w:val="0"/>
                <w:sz w:val="17"/>
              </w:rPr>
              <w:t xml:space="preserve"> (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SALESORDERDATE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2025-12-31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just under nine months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SALES_FORECAST_VS_ACTUAL</w:t>
            </w:r>
            <w:r>
              <w:rPr>
                <w:b w:val="0"/>
                <w:sz w:val="17"/>
              </w:rPr>
              <w:t xml:space="preserve"> (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PERIOD_DATE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2025-12-01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just under ten months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CRM_OPPORTUNITY_OPPORTUNITY</w:t>
            </w:r>
            <w:r>
              <w:rPr>
                <w:b w:val="0"/>
                <w:sz w:val="17"/>
              </w:rPr>
              <w:t xml:space="preserve"> (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CLOSE_DATE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2026-08-16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about five weeks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Three different ends, and none of them is today. Any query with a </w:t>
      </w:r>
      <w:r>
        <w:rPr>
          <w:rFonts w:ascii="Consolas" w:hAnsi="Consolas"/>
          <w:b w:val="0"/>
          <w:i w:val="0"/>
          <w:color w:val="1B5E8C"/>
          <w:sz w:val="19"/>
        </w:rPr>
        <w:t>CURRENT_DATE()</w:t>
      </w:r>
      <w:r>
        <w:rPr>
          <w:b w:val="0"/>
          <w:i w:val="0"/>
          <w:sz w:val="20"/>
        </w:rPr>
        <w:t>-relative filter — last quarter, this month, next 90 days — returns empty or near-empty against at least one of these series. Use absolute date ranges in demo queries and in verified queries.</w:t>
      </w:r>
    </w:p>
    <w:p>
      <w:pPr>
        <w:spacing w:after="120"/>
      </w:pPr>
      <w:r>
        <w:rPr>
          <w:b w:val="0"/>
          <w:i w:val="0"/>
          <w:sz w:val="20"/>
        </w:rPr>
        <w:t>The order history begins 2015-01-03, so the sales order series is eleven years deep. A "year over year" chart over it has ten comparisons available; a "year over year" chart over opportunities has one partial one.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Refreshing after the SAP data changes</w:t>
      </w:r>
    </w:p>
    <w:p>
      <w:pPr>
        <w:pStyle w:val="ListNumber"/>
        <w:spacing w:after="40"/>
      </w:pPr>
      <w:r>
        <w:rPr>
          <w:b w:val="0"/>
          <w:sz w:val="20"/>
        </w:rPr>
        <w:t>Reload the 31 L1 tables. This is the step that exists only because L1 is materialised; a view layer would need nothing here.</w:t>
      </w:r>
    </w:p>
    <w:p>
      <w:pPr>
        <w:pStyle w:val="ListNumber"/>
        <w:spacing w:after="40"/>
      </w:pPr>
      <w:r>
        <w:rPr>
          <w:b w:val="0"/>
          <w:sz w:val="20"/>
        </w:rPr>
        <w:t>Let the 11 L2 dynamic tables refresh, or force them.</w:t>
      </w:r>
    </w:p>
    <w:p>
      <w:pPr>
        <w:pStyle w:val="ListNumber"/>
        <w:spacing w:after="40"/>
      </w:pPr>
      <w:r>
        <w:rPr>
          <w:b w:val="0"/>
          <w:sz w:val="20"/>
        </w:rPr>
        <w:t>Re-run the duplication check. The ten shared counts should match again.</w:t>
      </w:r>
    </w:p>
    <w:p>
      <w:pPr>
        <w:pStyle w:val="ListNumber"/>
        <w:spacing w:after="40"/>
      </w:pPr>
      <w:r>
        <w:rPr>
          <w:b w:val="0"/>
          <w:sz w:val="20"/>
        </w:rPr>
        <w:t>Re-train and rewrite the three ML tables if the input series moved. They are plain tables and will not refresh themselves — 12, 6 and 7 rows that a dynamic-table refresh will silently leave stale.</w:t>
      </w:r>
    </w:p>
    <w:p>
      <w:pPr>
        <w:pStyle w:val="ListNumber"/>
        <w:spacing w:after="40"/>
      </w:pPr>
      <w:r>
        <w:rPr>
          <w:b w:val="0"/>
          <w:sz w:val="20"/>
        </w:rPr>
        <w:t>Re-run the commercial reconciliation.</w:t>
      </w:r>
    </w:p>
    <w:p>
      <w:pPr>
        <w:pStyle w:val="ListNumber"/>
        <w:spacing w:after="40"/>
      </w:pPr>
      <w:r>
        <w:rPr>
          <w:b w:val="0"/>
          <w:sz w:val="20"/>
        </w:rPr>
        <w:t>Re-extract the facts, then rebuild the documentation.</w:t>
      </w:r>
    </w:p>
    <w:p>
      <w:pPr>
        <w:spacing w:after="120"/>
      </w:pPr>
      <w:r>
        <w:rPr>
          <w:b w:val="0"/>
          <w:i w:val="0"/>
          <w:sz w:val="20"/>
        </w:rPr>
        <w:t>Step 4 is the one that gets missed. Dynamic tables make most of this layer self-maintaining, which makes the three tables that are not easy to forget.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Editing the semantic layer</w:t>
      </w:r>
    </w:p>
    <w:p>
      <w:pPr>
        <w:spacing w:after="120"/>
      </w:pPr>
      <w:r>
        <w:rPr>
          <w:b w:val="0"/>
          <w:i w:val="0"/>
          <w:sz w:val="20"/>
        </w:rPr>
        <w:t>Decide which artefact you are editing before you open a file.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Artefact to edit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 answer from the agent is wrong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</w:t>
            </w:r>
            <w:r>
              <w:rPr>
                <w:b/>
                <w:sz w:val="17"/>
              </w:rPr>
              <w:t>stage model</w:t>
            </w:r>
            <w:r>
              <w:rPr>
                <w:b w:val="0"/>
                <w:sz w:val="17"/>
              </w:rPr>
              <w:t xml:space="preserve"> YAML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A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SEMANTIC_VIEW(...)</w:t>
            </w:r>
            <w:r>
              <w:rPr>
                <w:b w:val="0"/>
                <w:sz w:val="17"/>
              </w:rPr>
              <w:t xml:space="preserve"> query returns the wrong metric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</w:t>
            </w:r>
            <w:r>
              <w:rPr>
                <w:b/>
                <w:sz w:val="17"/>
              </w:rPr>
              <w:t>semantic view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agent picks the wrong tool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</w:t>
            </w:r>
            <w:r>
              <w:rPr>
                <w:b/>
                <w:sz w:val="17"/>
              </w:rPr>
              <w:t>agent</w:t>
            </w:r>
            <w:r>
              <w:rPr>
                <w:b w:val="0"/>
                <w:sz w:val="17"/>
              </w:rPr>
              <w:t xml:space="preserve"> — though with one tool there is no wrong pick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Editing the semantic view to fix an agent answer will have no effect, because the agent's single tool is </w:t>
      </w:r>
      <w:r>
        <w:rPr>
          <w:rFonts w:ascii="Consolas" w:hAnsi="Consolas"/>
          <w:b w:val="0"/>
          <w:i w:val="0"/>
          <w:color w:val="1B5E8C"/>
          <w:sz w:val="19"/>
        </w:rPr>
        <w:t>cortex_analyst_text_to_sql</w:t>
      </w:r>
      <w:r>
        <w:rPr>
          <w:b w:val="0"/>
          <w:i w:val="0"/>
          <w:sz w:val="20"/>
        </w:rPr>
        <w:t xml:space="preserve"> and that binds to the stage model. The 369-dimension semantic view and the 64-dimension stage model are separate artefacts over the same data, and the large one is not the one the agent reads. Full treatment in the semantic layer (08-semantic-layer.md#which-artefact-to-edit).</w:t>
      </w:r>
    </w:p>
    <w:p>
      <w:pPr>
        <w:spacing w:after="120"/>
      </w:pPr>
      <w:r>
        <w:rPr>
          <w:b w:val="0"/>
          <w:i w:val="0"/>
          <w:sz w:val="20"/>
        </w:rPr>
        <w:t xml:space="preserve">After editing the YAML, </w:t>
      </w:r>
      <w:r>
        <w:rPr>
          <w:rFonts w:ascii="Consolas" w:hAnsi="Consolas"/>
          <w:b w:val="0"/>
          <w:i w:val="0"/>
          <w:color w:val="1B5E8C"/>
          <w:sz w:val="19"/>
        </w:rPr>
        <w:t>PUT</w:t>
      </w:r>
      <w:r>
        <w:rPr>
          <w:b w:val="0"/>
          <w:i w:val="0"/>
          <w:sz w:val="20"/>
        </w:rPr>
        <w:t xml:space="preserve"> it back to </w:t>
      </w:r>
      <w:r>
        <w:rPr>
          <w:rFonts w:ascii="Consolas" w:hAnsi="Consolas"/>
          <w:b w:val="0"/>
          <w:i w:val="0"/>
          <w:color w:val="1B5E8C"/>
          <w:sz w:val="19"/>
        </w:rPr>
        <w:t>@SAP_SALES_360.SEMANTIC.SEMANTIC_STAGE/</w:t>
      </w:r>
      <w:r>
        <w:rPr>
          <w:b w:val="0"/>
          <w:i w:val="0"/>
          <w:sz w:val="20"/>
        </w:rPr>
        <w:t xml:space="preserve"> under the same name and re-ask the question that failed.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Running a demo against this data</w:t>
      </w:r>
    </w:p>
    <w:p>
      <w:pPr>
        <w:spacing w:after="120"/>
      </w:pPr>
      <w:r>
        <w:rPr>
          <w:b w:val="0"/>
          <w:i w:val="0"/>
          <w:sz w:val="20"/>
        </w:rPr>
        <w:t>Three things to say before anyone asks.</w:t>
      </w:r>
    </w:p>
    <w:p>
      <w:pPr>
        <w:spacing w:after="120"/>
      </w:pPr>
      <w:r>
        <w:rPr>
          <w:b/>
          <w:i w:val="0"/>
          <w:sz w:val="20"/>
        </w:rPr>
        <w:t>On the pipeline.</w:t>
      </w:r>
      <w:r>
        <w:rPr>
          <w:b w:val="0"/>
          <w:i w:val="0"/>
          <w:sz w:val="20"/>
        </w:rPr>
        <w:t xml:space="preserve"> $1,903,302,819 across 3,201 opportunities is a real distribution over eight stages, and all of it has a close date in the past. Say so when the pipeline appears. It costs one sentence and it removes the only question that can derail the forecast page.</w:t>
      </w:r>
    </w:p>
    <w:p>
      <w:pPr>
        <w:spacing w:after="120"/>
      </w:pPr>
      <w:r>
        <w:rPr>
          <w:b/>
          <w:i w:val="0"/>
          <w:sz w:val="20"/>
        </w:rPr>
        <w:t>On win rate.</w:t>
      </w:r>
      <w:r>
        <w:rPr>
          <w:b w:val="0"/>
          <w:i w:val="0"/>
          <w:sz w:val="20"/>
        </w:rPr>
        <w:t xml:space="preserve"> Lead with both numbers. 50.4% by count and 43.8% by value is a more interesting opening than either alone, and it sets up the finding that follows: average won deal $703,332, average lost deal $917,442.</w:t>
      </w:r>
    </w:p>
    <w:p>
      <w:pPr>
        <w:spacing w:after="120"/>
      </w:pPr>
      <w:r>
        <w:rPr>
          <w:b/>
          <w:i w:val="0"/>
          <w:sz w:val="20"/>
        </w:rPr>
        <w:t>On attainment.</w:t>
      </w:r>
      <w:r>
        <w:rPr>
          <w:b w:val="0"/>
          <w:i w:val="0"/>
          <w:sz w:val="20"/>
        </w:rPr>
        <w:t xml:space="preserve"> Monthly attainment runs 80% to 117.65% with a standard deviation of 9.4 points. Do not describe it as flat. The three fiscal-year averages — 95.30%, 95.34%, 95.44% — are what look flat, and they are annual means over genuinely variable months.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Word versions of the documentation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python tools/build_docs_docx.py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Reads the eight markdown files in </w:t>
      </w:r>
      <w:r>
        <w:rPr>
          <w:rFonts w:ascii="Consolas" w:hAnsi="Consolas"/>
          <w:b w:val="0"/>
          <w:i w:val="0"/>
          <w:color w:val="1B5E8C"/>
          <w:sz w:val="19"/>
        </w:rPr>
        <w:t>docs/</w:t>
      </w:r>
      <w:r>
        <w:rPr>
          <w:b w:val="0"/>
          <w:i w:val="0"/>
          <w:sz w:val="20"/>
        </w:rPr>
        <w:t xml:space="preserve"> and writes nine files to </w:t>
      </w:r>
      <w:r>
        <w:rPr>
          <w:rFonts w:ascii="Consolas" w:hAnsi="Consolas"/>
          <w:b w:val="0"/>
          <w:i w:val="0"/>
          <w:color w:val="1B5E8C"/>
          <w:sz w:val="19"/>
        </w:rPr>
        <w:t>docs/docx/</w:t>
      </w:r>
      <w:r>
        <w:rPr>
          <w:b w:val="0"/>
          <w:i w:val="0"/>
          <w:sz w:val="20"/>
        </w:rPr>
        <w:t xml:space="preserve">: one per source plus </w:t>
      </w:r>
      <w:r>
        <w:rPr>
          <w:rFonts w:ascii="Consolas" w:hAnsi="Consolas"/>
          <w:b w:val="0"/>
          <w:i w:val="0"/>
          <w:color w:val="1B5E8C"/>
          <w:sz w:val="19"/>
        </w:rPr>
        <w:t>SAP_Sales_360_Documentation_Handbook.docx</w:t>
      </w:r>
      <w:r>
        <w:rPr>
          <w:b w:val="0"/>
          <w:i w:val="0"/>
          <w:sz w:val="20"/>
        </w:rPr>
        <w:t>, which carries a contents table and all eight parts in reading order.</w:t>
      </w:r>
    </w:p>
    <w:p>
      <w:pPr>
        <w:spacing w:after="120"/>
      </w:pPr>
      <w:r>
        <w:rPr>
          <w:b w:val="0"/>
          <w:i w:val="0"/>
          <w:sz w:val="20"/>
        </w:rPr>
        <w:t>Output goes to the repository rather than to a user directory, because these are regenerated artefacts and reviewers expect them next to their sources.</w:t>
      </w:r>
    </w:p>
    <w:p>
      <w:pPr>
        <w:spacing w:after="120"/>
      </w:pPr>
      <w:r>
        <w:rPr>
          <w:b w:val="0"/>
          <w:i w:val="0"/>
          <w:sz w:val="20"/>
        </w:rPr>
        <w:t xml:space="preserve">The renderer prints a per-file line count and a table-row count. </w:t>
      </w:r>
      <w:r>
        <w:rPr>
          <w:b/>
          <w:i w:val="0"/>
          <w:sz w:val="20"/>
        </w:rPr>
        <w:t>Check the table-row count.</w:t>
      </w:r>
      <w:r>
        <w:rPr>
          <w:b w:val="0"/>
          <w:i w:val="0"/>
          <w:sz w:val="20"/>
        </w:rPr>
        <w:t xml:space="preserve"> Most GFM table rows in this doc set omit leading and trailing pipes, which GFM permits; a parser that requires them drops those rows without raising anything. The row-count assertion is the only thing standing between that failure mode and a handbook with most of its tables quietly truncated.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Troubleshooting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Likely cause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L2 row count below 1,478,495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dynamic table has not refreshed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ten shared counts disagree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 reloaded, L2 not yet refreshed — check in that order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date-relative query returns nothing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series ends before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CURRENT_DATE()</w:t>
            </w:r>
            <w:r>
              <w:rPr>
                <w:b w:val="0"/>
                <w:sz w:val="17"/>
              </w:rPr>
              <w:t>; use absolute dates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forecast page shows no future periods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expected — the input series ends 2025-12-01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Open pipeline shows entirely past due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expected — 0 of 3,201 open opportunities have a future close date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 agent answer is wrong and editing the semantic view changed nothing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you edited the wrong artefact; edit the stage YAML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 ML prediction looks stale after a reload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three ML tables are plain and do not refresh; re-run inference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rendered table is shorter than its markdown source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table parser is rejecting rows without outer pipes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