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color w:val="29B5E8"/>
          <w:sz w:val="26"/>
        </w:rPr>
        <w:t>SAP BDC Sales 360</w:t>
      </w:r>
    </w:p>
    <w:p>
      <w:pPr>
        <w:spacing w:after="40"/>
      </w:pPr>
      <w:r>
        <w:rPr>
          <w:b/>
          <w:color w:val="1B3A57"/>
          <w:sz w:val="44"/>
        </w:rPr>
        <w:t>Findings</w:t>
      </w:r>
    </w:p>
    <w:p>
      <w:pPr>
        <w:spacing w:after="280"/>
      </w:pPr>
      <w:r>
        <w:rPr>
          <w:color w:val="5A6A7A"/>
          <w:sz w:val="19"/>
        </w:rPr>
        <w:t>Generated from docs/05-findings.md  ·  part 05</w:t>
      </w:r>
    </w:p>
    <w:p>
      <w:pPr>
        <w:spacing w:after="120"/>
      </w:pPr>
      <w:r>
        <w:rPr>
          <w:b w:val="0"/>
          <w:i w:val="0"/>
          <w:sz w:val="20"/>
        </w:rPr>
        <w:t>Things that were not obvious, that cost time, and that anyone building or presenting this stack should know. Two are properties of the commercial data, two are architectural, and two are open gaps in the AI layer.</w:t>
      </w:r>
    </w:p>
    <w:p>
      <w:pPr>
        <w:spacing w:after="120"/>
      </w:pPr>
      <w:r>
        <w:rPr>
          <w:b w:val="0"/>
          <w:i w:val="0"/>
          <w:sz w:val="20"/>
        </w:rPr>
        <w:t xml:space="preserve">All figures verified 2026-09-21 against account </w:t>
      </w:r>
      <w:r>
        <w:rPr>
          <w:rFonts w:ascii="Consolas" w:hAnsi="Consolas"/>
          <w:b w:val="0"/>
          <w:i w:val="0"/>
          <w:color w:val="1B5E8C"/>
          <w:sz w:val="19"/>
        </w:rPr>
        <w:t>MSB89522</w:t>
      </w:r>
      <w:r>
        <w:rPr>
          <w:b w:val="0"/>
          <w:i w:val="0"/>
          <w:sz w:val="20"/>
        </w:rPr>
        <w:t>.</w:t>
      </w:r>
    </w:p>
    <w:p>
      <w:pPr>
        <w:spacing w:before="80" w:after="160"/>
        <w:jc w:val="center"/>
      </w:pPr>
      <w:r>
        <w:rPr>
          <w:color w:val="C8D4DE"/>
          <w:sz w:val="12"/>
        </w:rPr>
        <w:t>──────────────────────────────────────────────────────────</w:t>
      </w:r>
    </w:p>
    <w:p>
      <w:pPr>
        <w:keepNext/>
        <w:spacing w:before="240" w:after="60"/>
        <w:outlineLvl w:val="1"/>
      </w:pPr>
      <w:r>
        <w:rPr>
          <w:b/>
          <w:color w:val="1B3A57"/>
          <w:sz w:val="23"/>
        </w:rPr>
        <w:t>They lose the larger deals</w:t>
      </w:r>
    </w:p>
    <w:p>
      <w:pPr>
        <w:spacing w:after="120"/>
      </w:pPr>
      <w:r>
        <w:rPr>
          <w:b/>
          <w:i w:val="0"/>
          <w:sz w:val="20"/>
        </w:rPr>
        <w:t>Severity: high — analytical, and the most actionable pattern in the dataset.</w:t>
      </w:r>
    </w:p>
    <w:p>
      <w:pPr>
        <w:spacing w:after="120"/>
      </w:pPr>
      <w:r>
        <w:rPr>
          <w:b w:val="0"/>
          <w:i w:val="0"/>
          <w:sz w:val="20"/>
        </w:rPr>
        <w:t>Win rate has two defensible definitions and they disagree by 6.6 points:</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Basis</w:t>
            </w:r>
          </w:p>
        </w:tc>
        <w:tc>
          <w:tcPr>
            <w:tcW w:type="dxa" w:w="2484"/>
            <w:shd w:val="clear" w:fill="1B3A57"/>
          </w:tcPr>
          <w:p>
            <w:pPr>
              <w:spacing w:after="20"/>
            </w:pPr>
            <w:r/>
            <w:r>
              <w:rPr>
                <w:b/>
                <w:color w:val="FFFFFF"/>
                <w:sz w:val="17"/>
              </w:rPr>
              <w:t>Won</w:t>
            </w:r>
          </w:p>
        </w:tc>
        <w:tc>
          <w:tcPr>
            <w:tcW w:type="dxa" w:w="2484"/>
            <w:shd w:val="clear" w:fill="1B3A57"/>
          </w:tcPr>
          <w:p>
            <w:pPr>
              <w:spacing w:after="20"/>
            </w:pPr>
            <w:r/>
            <w:r>
              <w:rPr>
                <w:b/>
                <w:color w:val="FFFFFF"/>
                <w:sz w:val="17"/>
              </w:rPr>
              <w:t>Lost</w:t>
            </w:r>
          </w:p>
        </w:tc>
        <w:tc>
          <w:tcPr>
            <w:tcW w:type="dxa" w:w="2484"/>
            <w:shd w:val="clear" w:fill="1B3A57"/>
          </w:tcPr>
          <w:p>
            <w:pPr>
              <w:spacing w:after="20"/>
            </w:pPr>
            <w:r/>
            <w:r>
              <w:rPr>
                <w:b/>
                <w:color w:val="FFFFFF"/>
                <w:sz w:val="17"/>
              </w:rPr>
              <w:t>Win rate</w:t>
            </w:r>
          </w:p>
        </w:tc>
      </w:tr>
      <w:tr>
        <w:trPr>
          <w:cantSplit/>
        </w:trPr>
        <w:tc>
          <w:tcPr>
            <w:tcW w:type="dxa" w:w="2484"/>
          </w:tcPr>
          <w:p>
            <w:pPr>
              <w:spacing w:after="20"/>
            </w:pPr>
            <w:r/>
            <w:r>
              <w:rPr>
                <w:b w:val="0"/>
                <w:sz w:val="17"/>
              </w:rPr>
              <w:t xml:space="preserve">Opportunity </w:t>
            </w:r>
            <w:r>
              <w:rPr>
                <w:b/>
                <w:sz w:val="17"/>
              </w:rPr>
              <w:t>count</w:t>
            </w:r>
          </w:p>
        </w:tc>
        <w:tc>
          <w:tcPr>
            <w:tcW w:type="dxa" w:w="2484"/>
          </w:tcPr>
          <w:p>
            <w:pPr>
              <w:spacing w:after="20"/>
            </w:pPr>
            <w:r/>
            <w:r>
              <w:rPr>
                <w:b w:val="0"/>
                <w:sz w:val="17"/>
              </w:rPr>
              <w:t>289</w:t>
            </w:r>
          </w:p>
        </w:tc>
        <w:tc>
          <w:tcPr>
            <w:tcW w:type="dxa" w:w="2484"/>
          </w:tcPr>
          <w:p>
            <w:pPr>
              <w:spacing w:after="20"/>
            </w:pPr>
            <w:r/>
            <w:r>
              <w:rPr>
                <w:b w:val="0"/>
                <w:sz w:val="17"/>
              </w:rPr>
              <w:t>284</w:t>
            </w:r>
          </w:p>
        </w:tc>
        <w:tc>
          <w:tcPr>
            <w:tcW w:type="dxa" w:w="2484"/>
          </w:tcPr>
          <w:p>
            <w:pPr>
              <w:spacing w:after="20"/>
            </w:pPr>
            <w:r/>
            <w:r>
              <w:rPr>
                <w:b/>
                <w:sz w:val="17"/>
              </w:rPr>
              <w:t>50.4%</w:t>
            </w:r>
          </w:p>
        </w:tc>
      </w:tr>
      <w:tr>
        <w:trPr>
          <w:cantSplit/>
        </w:trPr>
        <w:tc>
          <w:tcPr>
            <w:tcW w:type="dxa" w:w="2484"/>
            <w:shd w:val="clear" w:fill="EEF4F8"/>
          </w:tcPr>
          <w:p>
            <w:pPr>
              <w:spacing w:after="20"/>
            </w:pPr>
            <w:r/>
            <w:r>
              <w:rPr>
                <w:b w:val="0"/>
                <w:sz w:val="17"/>
              </w:rPr>
              <w:t xml:space="preserve">Opportunity </w:t>
            </w:r>
            <w:r>
              <w:rPr>
                <w:b/>
                <w:sz w:val="17"/>
              </w:rPr>
              <w:t>value</w:t>
            </w:r>
          </w:p>
        </w:tc>
        <w:tc>
          <w:tcPr>
            <w:tcW w:type="dxa" w:w="2484"/>
            <w:shd w:val="clear" w:fill="EEF4F8"/>
          </w:tcPr>
          <w:p>
            <w:pPr>
              <w:spacing w:after="20"/>
            </w:pPr>
            <w:r/>
            <w:r>
              <w:rPr>
                <w:b w:val="0"/>
                <w:sz w:val="17"/>
              </w:rPr>
              <w:t>$203,263,038</w:t>
            </w:r>
          </w:p>
        </w:tc>
        <w:tc>
          <w:tcPr>
            <w:tcW w:type="dxa" w:w="2484"/>
            <w:shd w:val="clear" w:fill="EEF4F8"/>
          </w:tcPr>
          <w:p>
            <w:pPr>
              <w:spacing w:after="20"/>
            </w:pPr>
            <w:r/>
            <w:r>
              <w:rPr>
                <w:b w:val="0"/>
                <w:sz w:val="17"/>
              </w:rPr>
              <w:t>$260,553,599</w:t>
            </w:r>
          </w:p>
        </w:tc>
        <w:tc>
          <w:tcPr>
            <w:tcW w:type="dxa" w:w="2484"/>
            <w:shd w:val="clear" w:fill="EEF4F8"/>
          </w:tcPr>
          <w:p>
            <w:pPr>
              <w:spacing w:after="20"/>
            </w:pPr>
            <w:r/>
            <w:r>
              <w:rPr>
                <w:b/>
                <w:sz w:val="17"/>
              </w:rPr>
              <w:t>43.8%</w:t>
            </w:r>
          </w:p>
        </w:tc>
      </w:tr>
    </w:tbl>
    <w:p>
      <w:pPr>
        <w:spacing w:after="80"/>
      </w:pPr>
    </w:p>
    <w:p>
      <w:pPr>
        <w:spacing w:after="120"/>
      </w:pPr>
      <w:r>
        <w:rPr>
          <w:b w:val="0"/>
          <w:i w:val="0"/>
          <w:sz w:val="20"/>
        </w:rPr>
        <w:t>A count-based rate above 50% and a value-based rate below 44% can only mean one thing, and the deal sizes confirm it:</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Outcome</w:t>
            </w:r>
          </w:p>
        </w:tc>
        <w:tc>
          <w:tcPr>
            <w:tcW w:type="dxa" w:w="2484"/>
            <w:shd w:val="clear" w:fill="1B3A57"/>
          </w:tcPr>
          <w:p>
            <w:pPr>
              <w:spacing w:after="20"/>
            </w:pPr>
            <w:r/>
            <w:r>
              <w:rPr>
                <w:b/>
                <w:color w:val="FFFFFF"/>
                <w:sz w:val="17"/>
              </w:rPr>
              <w:t>Opportunities</w:t>
            </w:r>
          </w:p>
        </w:tc>
        <w:tc>
          <w:tcPr>
            <w:tcW w:type="dxa" w:w="2484"/>
            <w:shd w:val="clear" w:fill="1B3A57"/>
          </w:tcPr>
          <w:p>
            <w:pPr>
              <w:spacing w:after="20"/>
            </w:pPr>
            <w:r/>
            <w:r>
              <w:rPr>
                <w:b/>
                <w:color w:val="FFFFFF"/>
                <w:sz w:val="17"/>
              </w:rPr>
              <w:t>Value</w:t>
            </w:r>
          </w:p>
        </w:tc>
        <w:tc>
          <w:tcPr>
            <w:tcW w:type="dxa" w:w="2484"/>
            <w:shd w:val="clear" w:fill="1B3A57"/>
          </w:tcPr>
          <w:p>
            <w:pPr>
              <w:spacing w:after="20"/>
            </w:pPr>
            <w:r/>
            <w:r>
              <w:rPr>
                <w:b/>
                <w:color w:val="FFFFFF"/>
                <w:sz w:val="17"/>
              </w:rPr>
              <w:t>Average deal</w:t>
            </w:r>
          </w:p>
        </w:tc>
      </w:tr>
      <w:tr>
        <w:trPr>
          <w:cantSplit/>
        </w:trPr>
        <w:tc>
          <w:tcPr>
            <w:tcW w:type="dxa" w:w="2484"/>
          </w:tcPr>
          <w:p>
            <w:pPr>
              <w:spacing w:after="20"/>
            </w:pPr>
            <w:r/>
            <w:r>
              <w:rPr>
                <w:b w:val="0"/>
                <w:sz w:val="17"/>
              </w:rPr>
              <w:t>Won</w:t>
            </w:r>
          </w:p>
        </w:tc>
        <w:tc>
          <w:tcPr>
            <w:tcW w:type="dxa" w:w="2484"/>
          </w:tcPr>
          <w:p>
            <w:pPr>
              <w:spacing w:after="20"/>
            </w:pPr>
            <w:r/>
            <w:r>
              <w:rPr>
                <w:b w:val="0"/>
                <w:sz w:val="17"/>
              </w:rPr>
              <w:t>289</w:t>
            </w:r>
          </w:p>
        </w:tc>
        <w:tc>
          <w:tcPr>
            <w:tcW w:type="dxa" w:w="2484"/>
          </w:tcPr>
          <w:p>
            <w:pPr>
              <w:spacing w:after="20"/>
            </w:pPr>
            <w:r/>
            <w:r>
              <w:rPr>
                <w:b w:val="0"/>
                <w:sz w:val="17"/>
              </w:rPr>
              <w:t>$203,263,038</w:t>
            </w:r>
          </w:p>
        </w:tc>
        <w:tc>
          <w:tcPr>
            <w:tcW w:type="dxa" w:w="2484"/>
          </w:tcPr>
          <w:p>
            <w:pPr>
              <w:spacing w:after="20"/>
            </w:pPr>
            <w:r/>
            <w:r>
              <w:rPr>
                <w:b/>
                <w:sz w:val="17"/>
              </w:rPr>
              <w:t>$703,332</w:t>
            </w:r>
          </w:p>
        </w:tc>
      </w:tr>
      <w:tr>
        <w:trPr>
          <w:cantSplit/>
        </w:trPr>
        <w:tc>
          <w:tcPr>
            <w:tcW w:type="dxa" w:w="2484"/>
            <w:shd w:val="clear" w:fill="EEF4F8"/>
          </w:tcPr>
          <w:p>
            <w:pPr>
              <w:spacing w:after="20"/>
            </w:pPr>
            <w:r/>
            <w:r>
              <w:rPr>
                <w:b w:val="0"/>
                <w:sz w:val="17"/>
              </w:rPr>
              <w:t>Lost</w:t>
            </w:r>
          </w:p>
        </w:tc>
        <w:tc>
          <w:tcPr>
            <w:tcW w:type="dxa" w:w="2484"/>
            <w:shd w:val="clear" w:fill="EEF4F8"/>
          </w:tcPr>
          <w:p>
            <w:pPr>
              <w:spacing w:after="20"/>
            </w:pPr>
            <w:r/>
            <w:r>
              <w:rPr>
                <w:b w:val="0"/>
                <w:sz w:val="17"/>
              </w:rPr>
              <w:t>284</w:t>
            </w:r>
          </w:p>
        </w:tc>
        <w:tc>
          <w:tcPr>
            <w:tcW w:type="dxa" w:w="2484"/>
            <w:shd w:val="clear" w:fill="EEF4F8"/>
          </w:tcPr>
          <w:p>
            <w:pPr>
              <w:spacing w:after="20"/>
            </w:pPr>
            <w:r/>
            <w:r>
              <w:rPr>
                <w:b w:val="0"/>
                <w:sz w:val="17"/>
              </w:rPr>
              <w:t>$260,553,599</w:t>
            </w:r>
          </w:p>
        </w:tc>
        <w:tc>
          <w:tcPr>
            <w:tcW w:type="dxa" w:w="2484"/>
            <w:shd w:val="clear" w:fill="EEF4F8"/>
          </w:tcPr>
          <w:p>
            <w:pPr>
              <w:spacing w:after="20"/>
            </w:pPr>
            <w:r/>
            <w:r>
              <w:rPr>
                <w:b/>
                <w:sz w:val="17"/>
              </w:rPr>
              <w:t>$917,442</w:t>
            </w:r>
          </w:p>
        </w:tc>
      </w:tr>
    </w:tbl>
    <w:p>
      <w:pPr>
        <w:spacing w:after="80"/>
      </w:pPr>
    </w:p>
    <w:p>
      <w:pPr>
        <w:spacing w:after="120"/>
      </w:pPr>
      <w:r>
        <w:rPr>
          <w:b w:val="0"/>
          <w:i w:val="0"/>
          <w:sz w:val="20"/>
        </w:rPr>
        <w:t xml:space="preserve">The average lost deal is $214,110 larger than the average won deal — 1.30 times the size. On 573 closed opportunities, 284 losses carry </w:t>
      </w:r>
      <w:r>
        <w:rPr>
          <w:b/>
          <w:i w:val="0"/>
          <w:sz w:val="20"/>
        </w:rPr>
        <w:t>more total value than 289 wins</w:t>
      </w:r>
      <w:r>
        <w:rPr>
          <w:b w:val="0"/>
          <w:i w:val="0"/>
          <w:sz w:val="20"/>
        </w:rPr>
        <w:t>.</w:t>
      </w:r>
    </w:p>
    <w:p>
      <w:pPr>
        <w:spacing w:after="120"/>
      </w:pPr>
      <w:r>
        <w:rPr>
          <w:b w:val="0"/>
          <w:i w:val="0"/>
          <w:sz w:val="20"/>
        </w:rPr>
        <w:t>This is the finding to lead with in any commercial conversation about this data, for three reasons.</w:t>
      </w:r>
    </w:p>
    <w:p>
      <w:pPr>
        <w:spacing w:after="120"/>
      </w:pPr>
      <w:r>
        <w:rPr>
          <w:b w:val="0"/>
          <w:i w:val="0"/>
          <w:sz w:val="20"/>
        </w:rPr>
        <w:t>First, it inverts the usual read. A 50.4% win rate sounds healthy. The same book of business at 43.8% by value is a different business, and the difference is not rounding.</w:t>
      </w:r>
    </w:p>
    <w:p>
      <w:pPr>
        <w:spacing w:after="120"/>
      </w:pPr>
      <w:r>
        <w:rPr>
          <w:b w:val="0"/>
          <w:i w:val="0"/>
          <w:sz w:val="20"/>
        </w:rPr>
        <w:t>Second, it is specific enough to act on. The pattern is not "we lose deals", it is "deal size predicts loss", which points at named mechanisms: competitive displacement at the top of the range, approval friction on large discounts, procurement entering late on big-ticket cycles, or single-threaded coverage on deals that need a committee.</w:t>
      </w:r>
    </w:p>
    <w:p>
      <w:pPr>
        <w:spacing w:after="120"/>
      </w:pPr>
      <w:r>
        <w:rPr>
          <w:b w:val="0"/>
          <w:i w:val="0"/>
          <w:sz w:val="20"/>
        </w:rPr>
        <w:t xml:space="preserve">Third, it is a trap for anyone reporting on this data. </w:t>
      </w:r>
      <w:r>
        <w:rPr>
          <w:b/>
          <w:i w:val="0"/>
          <w:sz w:val="20"/>
        </w:rPr>
        <w:t>A win-rate metric that does not state its basis is ambiguous by 6.6 points here.</w:t>
      </w:r>
      <w:r>
        <w:rPr>
          <w:b w:val="0"/>
          <w:i w:val="0"/>
          <w:sz w:val="20"/>
        </w:rPr>
        <w:t xml:space="preserve"> Any semantic model over this data should expose both, named distinctly, so that a natural-language question cannot silently pick the flattering one. That requirement is carried into the semantic layer (08-semantic-layer.md#what-the-semantic-layer-must-encode).</w:t>
      </w:r>
    </w:p>
    <w:p>
      <w:pPr>
        <w:spacing w:after="120"/>
      </w:pPr>
      <w:r>
        <w:rPr>
          <w:b w:val="0"/>
          <w:i w:val="0"/>
          <w:sz w:val="20"/>
        </w:rPr>
        <w:t>For context on scale: total quota across the 8 reps is $229,988,389, and won value is $203,263,038 — 88.4% of it. The $260,553,599 lost is more than the entire quota. Recovering even a fifth of the lost value would exceed the gap to quota.</w:t>
      </w:r>
    </w:p>
    <w:p>
      <w:pPr>
        <w:spacing w:before="80" w:after="160"/>
        <w:jc w:val="center"/>
      </w:pPr>
      <w:r>
        <w:rPr>
          <w:color w:val="C8D4DE"/>
          <w:sz w:val="12"/>
        </w:rPr>
        <w:t>──────────────────────────────────────────────────────────</w:t>
      </w:r>
    </w:p>
    <w:p>
      <w:pPr>
        <w:keepNext/>
        <w:spacing w:before="240" w:after="60"/>
        <w:outlineLvl w:val="1"/>
      </w:pPr>
      <w:r>
        <w:rPr>
          <w:b/>
          <w:color w:val="1B3A57"/>
          <w:sz w:val="23"/>
        </w:rPr>
        <w:t>The open pipeline is entirely past due</w:t>
      </w:r>
    </w:p>
    <w:p>
      <w:pPr>
        <w:spacing w:after="120"/>
      </w:pPr>
      <w:r>
        <w:rPr>
          <w:b/>
          <w:i w:val="0"/>
          <w:sz w:val="20"/>
        </w:rPr>
        <w:t>Severity: high — presentation-blocking if unstated, harmless if stated.</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Measure</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Open opportunities</w:t>
            </w:r>
          </w:p>
        </w:tc>
        <w:tc>
          <w:tcPr>
            <w:tcW w:type="dxa" w:w="7056"/>
          </w:tcPr>
          <w:p>
            <w:pPr>
              <w:spacing w:after="20"/>
            </w:pPr>
            <w:r/>
            <w:r>
              <w:rPr>
                <w:b w:val="0"/>
                <w:sz w:val="17"/>
              </w:rPr>
              <w:t>3,201</w:t>
            </w:r>
          </w:p>
        </w:tc>
      </w:tr>
      <w:tr>
        <w:trPr>
          <w:cantSplit/>
        </w:trPr>
        <w:tc>
          <w:tcPr>
            <w:tcW w:type="dxa" w:w="2880"/>
            <w:shd w:val="clear" w:fill="EEF4F8"/>
          </w:tcPr>
          <w:p>
            <w:pPr>
              <w:spacing w:after="20"/>
            </w:pPr>
            <w:r/>
            <w:r>
              <w:rPr>
                <w:b w:val="0"/>
                <w:sz w:val="17"/>
              </w:rPr>
              <w:t>Open pipeline value</w:t>
            </w:r>
          </w:p>
        </w:tc>
        <w:tc>
          <w:tcPr>
            <w:tcW w:type="dxa" w:w="7056"/>
            <w:shd w:val="clear" w:fill="EEF4F8"/>
          </w:tcPr>
          <w:p>
            <w:pPr>
              <w:spacing w:after="20"/>
            </w:pPr>
            <w:r/>
            <w:r>
              <w:rPr>
                <w:b w:val="0"/>
                <w:sz w:val="17"/>
              </w:rPr>
              <w:t>$1,903,302,819</w:t>
            </w:r>
          </w:p>
        </w:tc>
      </w:tr>
      <w:tr>
        <w:trPr>
          <w:cantSplit/>
        </w:trPr>
        <w:tc>
          <w:tcPr>
            <w:tcW w:type="dxa" w:w="2880"/>
          </w:tcPr>
          <w:p>
            <w:pPr>
              <w:spacing w:after="20"/>
            </w:pPr>
            <w:r/>
            <w:r>
              <w:rPr>
                <w:b w:val="0"/>
                <w:sz w:val="17"/>
              </w:rPr>
              <w:t xml:space="preserve">Open opportunities with a close date </w:t>
            </w:r>
            <w:r>
              <w:rPr>
                <w:b/>
                <w:sz w:val="17"/>
              </w:rPr>
              <w:t>before</w:t>
            </w:r>
            <w:r>
              <w:rPr>
                <w:b w:val="0"/>
                <w:sz w:val="17"/>
              </w:rPr>
              <w:t xml:space="preserve"> 2026-09-21</w:t>
            </w:r>
          </w:p>
        </w:tc>
        <w:tc>
          <w:tcPr>
            <w:tcW w:type="dxa" w:w="7056"/>
          </w:tcPr>
          <w:p>
            <w:pPr>
              <w:spacing w:after="20"/>
            </w:pPr>
            <w:r/>
            <w:r>
              <w:rPr>
                <w:b/>
                <w:sz w:val="17"/>
              </w:rPr>
              <w:t>3,201</w:t>
            </w:r>
          </w:p>
        </w:tc>
      </w:tr>
      <w:tr>
        <w:trPr>
          <w:cantSplit/>
        </w:trPr>
        <w:tc>
          <w:tcPr>
            <w:tcW w:type="dxa" w:w="2880"/>
            <w:shd w:val="clear" w:fill="EEF4F8"/>
          </w:tcPr>
          <w:p>
            <w:pPr>
              <w:spacing w:after="20"/>
            </w:pPr>
            <w:r/>
            <w:r>
              <w:rPr>
                <w:b w:val="0"/>
                <w:sz w:val="17"/>
              </w:rPr>
              <w:t xml:space="preserve">Open opportunities with a close date </w:t>
            </w:r>
            <w:r>
              <w:rPr>
                <w:b/>
                <w:sz w:val="17"/>
              </w:rPr>
              <w:t>on or after</w:t>
            </w:r>
            <w:r>
              <w:rPr>
                <w:b w:val="0"/>
                <w:sz w:val="17"/>
              </w:rPr>
              <w:t xml:space="preserve"> 2026-09-21</w:t>
            </w:r>
          </w:p>
        </w:tc>
        <w:tc>
          <w:tcPr>
            <w:tcW w:type="dxa" w:w="7056"/>
            <w:shd w:val="clear" w:fill="EEF4F8"/>
          </w:tcPr>
          <w:p>
            <w:pPr>
              <w:spacing w:after="20"/>
            </w:pPr>
            <w:r/>
            <w:r>
              <w:rPr>
                <w:b/>
                <w:sz w:val="17"/>
              </w:rPr>
              <w:t>0</w:t>
            </w:r>
          </w:p>
        </w:tc>
      </w:tr>
      <w:tr>
        <w:trPr>
          <w:cantSplit/>
        </w:trPr>
        <w:tc>
          <w:tcPr>
            <w:tcW w:type="dxa" w:w="2880"/>
          </w:tcPr>
          <w:p>
            <w:pPr>
              <w:spacing w:after="20"/>
            </w:pPr>
            <w:r/>
            <w:r>
              <w:rPr>
                <w:b w:val="0"/>
                <w:sz w:val="17"/>
              </w:rPr>
              <w:t>Past-due open value</w:t>
            </w:r>
          </w:p>
        </w:tc>
        <w:tc>
          <w:tcPr>
            <w:tcW w:type="dxa" w:w="7056"/>
          </w:tcPr>
          <w:p>
            <w:pPr>
              <w:spacing w:after="20"/>
            </w:pPr>
            <w:r/>
            <w:r>
              <w:rPr>
                <w:b/>
                <w:sz w:val="17"/>
              </w:rPr>
              <w:t>$1,903,302,819</w:t>
            </w:r>
          </w:p>
        </w:tc>
      </w:tr>
    </w:tbl>
    <w:p>
      <w:pPr>
        <w:spacing w:after="80"/>
      </w:pPr>
    </w:p>
    <w:p>
      <w:pPr>
        <w:spacing w:after="120"/>
      </w:pPr>
      <w:r>
        <w:rPr>
          <w:b w:val="0"/>
          <w:i w:val="0"/>
          <w:sz w:val="20"/>
        </w:rPr>
        <w:t xml:space="preserve">Not most of it. All of it. The latest </w:t>
      </w:r>
      <w:r>
        <w:rPr>
          <w:rFonts w:ascii="Consolas" w:hAnsi="Consolas"/>
          <w:b w:val="0"/>
          <w:i w:val="0"/>
          <w:color w:val="1B5E8C"/>
          <w:sz w:val="19"/>
        </w:rPr>
        <w:t>CLOSE_DATE</w:t>
      </w:r>
      <w:r>
        <w:rPr>
          <w:b w:val="0"/>
          <w:i w:val="0"/>
          <w:sz w:val="20"/>
        </w:rPr>
        <w:t xml:space="preserve"> anywhere in </w:t>
      </w:r>
      <w:r>
        <w:rPr>
          <w:rFonts w:ascii="Consolas" w:hAnsi="Consolas"/>
          <w:b w:val="0"/>
          <w:i w:val="0"/>
          <w:color w:val="1B5E8C"/>
          <w:sz w:val="19"/>
        </w:rPr>
        <w:t>CRM_OPPORTUNITY_OPPORTUNITY</w:t>
      </w:r>
      <w:r>
        <w:rPr>
          <w:b w:val="0"/>
          <w:i w:val="0"/>
          <w:sz w:val="20"/>
        </w:rPr>
        <w:t xml:space="preserve"> is 2026-08-16, about five weeks before the verification date, so no open opportunity </w:t>
      </w:r>
      <w:r>
        <w:rPr>
          <w:b w:val="0"/>
          <w:i w:val="0"/>
          <w:sz w:val="20"/>
        </w:rPr>
        <w:t>can</w:t>
      </w:r>
      <w:r>
        <w:rPr>
          <w:b w:val="0"/>
          <w:i w:val="0"/>
          <w:sz w:val="20"/>
        </w:rPr>
        <w:t xml:space="preserve"> have a future close date.</w:t>
      </w:r>
    </w:p>
    <w:p>
      <w:pPr>
        <w:spacing w:after="120"/>
      </w:pPr>
      <w:r>
        <w:rPr>
          <w:b w:val="0"/>
          <w:i w:val="0"/>
          <w:sz w:val="20"/>
        </w:rPr>
        <w:t>This is a demo-data artefact. The dataset was generated with a close-date window that has since elapsed; nothing about the pipeline's internal structure is wrong. The stage distribution is intact and reconciles exactly:</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Stage</w:t>
            </w:r>
          </w:p>
        </w:tc>
        <w:tc>
          <w:tcPr>
            <w:tcW w:type="dxa" w:w="2484"/>
            <w:shd w:val="clear" w:fill="1B3A57"/>
          </w:tcPr>
          <w:p>
            <w:pPr>
              <w:spacing w:after="20"/>
            </w:pPr>
            <w:r/>
            <w:r>
              <w:rPr>
                <w:b/>
                <w:color w:val="FFFFFF"/>
                <w:sz w:val="17"/>
              </w:rPr>
              <w:t>Opportunities</w:t>
            </w:r>
          </w:p>
        </w:tc>
        <w:tc>
          <w:tcPr>
            <w:tcW w:type="dxa" w:w="2484"/>
            <w:shd w:val="clear" w:fill="1B3A57"/>
          </w:tcPr>
          <w:p>
            <w:pPr>
              <w:spacing w:after="20"/>
            </w:pPr>
            <w:r/>
            <w:r>
              <w:rPr>
                <w:b/>
                <w:color w:val="FFFFFF"/>
                <w:sz w:val="17"/>
              </w:rPr>
              <w:t>Value</w:t>
            </w:r>
          </w:p>
        </w:tc>
        <w:tc>
          <w:tcPr>
            <w:tcW w:type="dxa" w:w="2484"/>
            <w:shd w:val="clear" w:fill="1B3A57"/>
          </w:tcPr>
          <w:p>
            <w:pPr>
              <w:spacing w:after="20"/>
            </w:pPr>
            <w:r/>
            <w:r>
              <w:rPr>
                <w:b/>
                <w:color w:val="FFFFFF"/>
                <w:sz w:val="17"/>
              </w:rPr>
              <w:t>Avg probability</w:t>
            </w:r>
          </w:p>
        </w:tc>
      </w:tr>
      <w:tr>
        <w:trPr>
          <w:cantSplit/>
        </w:trPr>
        <w:tc>
          <w:tcPr>
            <w:tcW w:type="dxa" w:w="2484"/>
          </w:tcPr>
          <w:p>
            <w:pPr>
              <w:spacing w:after="20"/>
            </w:pPr>
            <w:r/>
            <w:r>
              <w:rPr>
                <w:b w:val="0"/>
                <w:sz w:val="17"/>
              </w:rPr>
              <w:t>Needs Analysis</w:t>
            </w:r>
          </w:p>
        </w:tc>
        <w:tc>
          <w:tcPr>
            <w:tcW w:type="dxa" w:w="2484"/>
          </w:tcPr>
          <w:p>
            <w:pPr>
              <w:spacing w:after="20"/>
            </w:pPr>
            <w:r/>
            <w:r>
              <w:rPr>
                <w:b w:val="0"/>
                <w:sz w:val="17"/>
              </w:rPr>
              <w:t>532</w:t>
            </w:r>
          </w:p>
        </w:tc>
        <w:tc>
          <w:tcPr>
            <w:tcW w:type="dxa" w:w="2484"/>
          </w:tcPr>
          <w:p>
            <w:pPr>
              <w:spacing w:after="20"/>
            </w:pPr>
            <w:r/>
            <w:r>
              <w:rPr>
                <w:b w:val="0"/>
                <w:sz w:val="17"/>
              </w:rPr>
              <w:t>$298,047,416</w:t>
            </w:r>
          </w:p>
        </w:tc>
        <w:tc>
          <w:tcPr>
            <w:tcW w:type="dxa" w:w="2484"/>
          </w:tcPr>
          <w:p>
            <w:pPr>
              <w:spacing w:after="20"/>
            </w:pPr>
            <w:r/>
            <w:r>
              <w:rPr>
                <w:b w:val="0"/>
                <w:sz w:val="17"/>
              </w:rPr>
              <w:t>40%</w:t>
            </w:r>
          </w:p>
        </w:tc>
      </w:tr>
      <w:tr>
        <w:trPr>
          <w:cantSplit/>
        </w:trPr>
        <w:tc>
          <w:tcPr>
            <w:tcW w:type="dxa" w:w="2484"/>
            <w:shd w:val="clear" w:fill="EEF4F8"/>
          </w:tcPr>
          <w:p>
            <w:pPr>
              <w:spacing w:after="20"/>
            </w:pPr>
            <w:r/>
            <w:r>
              <w:rPr>
                <w:b w:val="0"/>
                <w:sz w:val="17"/>
              </w:rPr>
              <w:t>Id. Decision Makers</w:t>
            </w:r>
          </w:p>
        </w:tc>
        <w:tc>
          <w:tcPr>
            <w:tcW w:type="dxa" w:w="2484"/>
            <w:shd w:val="clear" w:fill="EEF4F8"/>
          </w:tcPr>
          <w:p>
            <w:pPr>
              <w:spacing w:after="20"/>
            </w:pPr>
            <w:r/>
            <w:r>
              <w:rPr>
                <w:b w:val="0"/>
                <w:sz w:val="17"/>
              </w:rPr>
              <w:t>385</w:t>
            </w:r>
          </w:p>
        </w:tc>
        <w:tc>
          <w:tcPr>
            <w:tcW w:type="dxa" w:w="2484"/>
            <w:shd w:val="clear" w:fill="EEF4F8"/>
          </w:tcPr>
          <w:p>
            <w:pPr>
              <w:spacing w:after="20"/>
            </w:pPr>
            <w:r/>
            <w:r>
              <w:rPr>
                <w:b w:val="0"/>
                <w:sz w:val="17"/>
              </w:rPr>
              <w:t>$270,081,010</w:t>
            </w:r>
          </w:p>
        </w:tc>
        <w:tc>
          <w:tcPr>
            <w:tcW w:type="dxa" w:w="2484"/>
            <w:shd w:val="clear" w:fill="EEF4F8"/>
          </w:tcPr>
          <w:p>
            <w:pPr>
              <w:spacing w:after="20"/>
            </w:pPr>
            <w:r/>
            <w:r>
              <w:rPr>
                <w:b w:val="0"/>
                <w:sz w:val="17"/>
              </w:rPr>
              <w:t>60%</w:t>
            </w:r>
          </w:p>
        </w:tc>
      </w:tr>
      <w:tr>
        <w:trPr>
          <w:cantSplit/>
        </w:trPr>
        <w:tc>
          <w:tcPr>
            <w:tcW w:type="dxa" w:w="2484"/>
          </w:tcPr>
          <w:p>
            <w:pPr>
              <w:spacing w:after="20"/>
            </w:pPr>
            <w:r/>
            <w:r>
              <w:rPr>
                <w:b w:val="0"/>
                <w:sz w:val="17"/>
              </w:rPr>
              <w:t>Negotiation/Review</w:t>
            </w:r>
          </w:p>
        </w:tc>
        <w:tc>
          <w:tcPr>
            <w:tcW w:type="dxa" w:w="2484"/>
          </w:tcPr>
          <w:p>
            <w:pPr>
              <w:spacing w:after="20"/>
            </w:pPr>
            <w:r/>
            <w:r>
              <w:rPr>
                <w:b w:val="0"/>
                <w:sz w:val="17"/>
              </w:rPr>
              <w:t>380</w:t>
            </w:r>
          </w:p>
        </w:tc>
        <w:tc>
          <w:tcPr>
            <w:tcW w:type="dxa" w:w="2484"/>
          </w:tcPr>
          <w:p>
            <w:pPr>
              <w:spacing w:after="20"/>
            </w:pPr>
            <w:r/>
            <w:r>
              <w:rPr>
                <w:b w:val="0"/>
                <w:sz w:val="17"/>
              </w:rPr>
              <w:t>$244,081,033</w:t>
            </w:r>
          </w:p>
        </w:tc>
        <w:tc>
          <w:tcPr>
            <w:tcW w:type="dxa" w:w="2484"/>
          </w:tcPr>
          <w:p>
            <w:pPr>
              <w:spacing w:after="20"/>
            </w:pPr>
            <w:r/>
            <w:r>
              <w:rPr>
                <w:b w:val="0"/>
                <w:sz w:val="17"/>
              </w:rPr>
              <w:t>90%</w:t>
            </w:r>
          </w:p>
        </w:tc>
      </w:tr>
      <w:tr>
        <w:trPr>
          <w:cantSplit/>
        </w:trPr>
        <w:tc>
          <w:tcPr>
            <w:tcW w:type="dxa" w:w="2484"/>
            <w:shd w:val="clear" w:fill="EEF4F8"/>
          </w:tcPr>
          <w:p>
            <w:pPr>
              <w:spacing w:after="20"/>
            </w:pPr>
            <w:r/>
            <w:r>
              <w:rPr>
                <w:b w:val="0"/>
                <w:sz w:val="17"/>
              </w:rPr>
              <w:t>Prospecting</w:t>
            </w:r>
          </w:p>
        </w:tc>
        <w:tc>
          <w:tcPr>
            <w:tcW w:type="dxa" w:w="2484"/>
            <w:shd w:val="clear" w:fill="EEF4F8"/>
          </w:tcPr>
          <w:p>
            <w:pPr>
              <w:spacing w:after="20"/>
            </w:pPr>
            <w:r/>
            <w:r>
              <w:rPr>
                <w:b w:val="0"/>
                <w:sz w:val="17"/>
              </w:rPr>
              <w:t>447</w:t>
            </w:r>
          </w:p>
        </w:tc>
        <w:tc>
          <w:tcPr>
            <w:tcW w:type="dxa" w:w="2484"/>
            <w:shd w:val="clear" w:fill="EEF4F8"/>
          </w:tcPr>
          <w:p>
            <w:pPr>
              <w:spacing w:after="20"/>
            </w:pPr>
            <w:r/>
            <w:r>
              <w:rPr>
                <w:b w:val="0"/>
                <w:sz w:val="17"/>
              </w:rPr>
              <w:t>$235,418,270</w:t>
            </w:r>
          </w:p>
        </w:tc>
        <w:tc>
          <w:tcPr>
            <w:tcW w:type="dxa" w:w="2484"/>
            <w:shd w:val="clear" w:fill="EEF4F8"/>
          </w:tcPr>
          <w:p>
            <w:pPr>
              <w:spacing w:after="20"/>
            </w:pPr>
            <w:r/>
            <w:r>
              <w:rPr>
                <w:b w:val="0"/>
                <w:sz w:val="17"/>
              </w:rPr>
              <w:t>10%</w:t>
            </w:r>
          </w:p>
        </w:tc>
      </w:tr>
      <w:tr>
        <w:trPr>
          <w:cantSplit/>
        </w:trPr>
        <w:tc>
          <w:tcPr>
            <w:tcW w:type="dxa" w:w="2484"/>
          </w:tcPr>
          <w:p>
            <w:pPr>
              <w:spacing w:after="20"/>
            </w:pPr>
            <w:r/>
            <w:r>
              <w:rPr>
                <w:b w:val="0"/>
                <w:sz w:val="17"/>
              </w:rPr>
              <w:t>Proposal/Price Quote</w:t>
            </w:r>
          </w:p>
        </w:tc>
        <w:tc>
          <w:tcPr>
            <w:tcW w:type="dxa" w:w="2484"/>
          </w:tcPr>
          <w:p>
            <w:pPr>
              <w:spacing w:after="20"/>
            </w:pPr>
            <w:r/>
            <w:r>
              <w:rPr>
                <w:b w:val="0"/>
                <w:sz w:val="17"/>
              </w:rPr>
              <w:t>371</w:t>
            </w:r>
          </w:p>
        </w:tc>
        <w:tc>
          <w:tcPr>
            <w:tcW w:type="dxa" w:w="2484"/>
          </w:tcPr>
          <w:p>
            <w:pPr>
              <w:spacing w:after="20"/>
            </w:pPr>
            <w:r/>
            <w:r>
              <w:rPr>
                <w:b w:val="0"/>
                <w:sz w:val="17"/>
              </w:rPr>
              <w:t>$228,648,259</w:t>
            </w:r>
          </w:p>
        </w:tc>
        <w:tc>
          <w:tcPr>
            <w:tcW w:type="dxa" w:w="2484"/>
          </w:tcPr>
          <w:p>
            <w:pPr>
              <w:spacing w:after="20"/>
            </w:pPr>
            <w:r/>
            <w:r>
              <w:rPr>
                <w:b w:val="0"/>
                <w:sz w:val="17"/>
              </w:rPr>
              <w:t>75%</w:t>
            </w:r>
          </w:p>
        </w:tc>
      </w:tr>
      <w:tr>
        <w:trPr>
          <w:cantSplit/>
        </w:trPr>
        <w:tc>
          <w:tcPr>
            <w:tcW w:type="dxa" w:w="2484"/>
            <w:shd w:val="clear" w:fill="EEF4F8"/>
          </w:tcPr>
          <w:p>
            <w:pPr>
              <w:spacing w:after="20"/>
            </w:pPr>
            <w:r/>
            <w:r>
              <w:rPr>
                <w:b w:val="0"/>
                <w:sz w:val="17"/>
              </w:rPr>
              <w:t>Perception Analysis</w:t>
            </w:r>
          </w:p>
        </w:tc>
        <w:tc>
          <w:tcPr>
            <w:tcW w:type="dxa" w:w="2484"/>
            <w:shd w:val="clear" w:fill="EEF4F8"/>
          </w:tcPr>
          <w:p>
            <w:pPr>
              <w:spacing w:after="20"/>
            </w:pPr>
            <w:r/>
            <w:r>
              <w:rPr>
                <w:b w:val="0"/>
                <w:sz w:val="17"/>
              </w:rPr>
              <w:t>395</w:t>
            </w:r>
          </w:p>
        </w:tc>
        <w:tc>
          <w:tcPr>
            <w:tcW w:type="dxa" w:w="2484"/>
            <w:shd w:val="clear" w:fill="EEF4F8"/>
          </w:tcPr>
          <w:p>
            <w:pPr>
              <w:spacing w:after="20"/>
            </w:pPr>
            <w:r/>
            <w:r>
              <w:rPr>
                <w:b w:val="0"/>
                <w:sz w:val="17"/>
              </w:rPr>
              <w:t>$218,244,975</w:t>
            </w:r>
          </w:p>
        </w:tc>
        <w:tc>
          <w:tcPr>
            <w:tcW w:type="dxa" w:w="2484"/>
            <w:shd w:val="clear" w:fill="EEF4F8"/>
          </w:tcPr>
          <w:p>
            <w:pPr>
              <w:spacing w:after="20"/>
            </w:pPr>
            <w:r/>
            <w:r>
              <w:rPr>
                <w:b w:val="0"/>
                <w:sz w:val="17"/>
              </w:rPr>
              <w:t>70%</w:t>
            </w:r>
          </w:p>
        </w:tc>
      </w:tr>
      <w:tr>
        <w:trPr>
          <w:cantSplit/>
        </w:trPr>
        <w:tc>
          <w:tcPr>
            <w:tcW w:type="dxa" w:w="2484"/>
          </w:tcPr>
          <w:p>
            <w:pPr>
              <w:spacing w:after="20"/>
            </w:pPr>
            <w:r/>
            <w:r>
              <w:rPr>
                <w:b w:val="0"/>
                <w:sz w:val="17"/>
              </w:rPr>
              <w:t>Qualification</w:t>
            </w:r>
          </w:p>
        </w:tc>
        <w:tc>
          <w:tcPr>
            <w:tcW w:type="dxa" w:w="2484"/>
          </w:tcPr>
          <w:p>
            <w:pPr>
              <w:spacing w:after="20"/>
            </w:pPr>
            <w:r/>
            <w:r>
              <w:rPr>
                <w:b w:val="0"/>
                <w:sz w:val="17"/>
              </w:rPr>
              <w:t>354</w:t>
            </w:r>
          </w:p>
        </w:tc>
        <w:tc>
          <w:tcPr>
            <w:tcW w:type="dxa" w:w="2484"/>
          </w:tcPr>
          <w:p>
            <w:pPr>
              <w:spacing w:after="20"/>
            </w:pPr>
            <w:r/>
            <w:r>
              <w:rPr>
                <w:b w:val="0"/>
                <w:sz w:val="17"/>
              </w:rPr>
              <w:t>$206,254,267</w:t>
            </w:r>
          </w:p>
        </w:tc>
        <w:tc>
          <w:tcPr>
            <w:tcW w:type="dxa" w:w="2484"/>
          </w:tcPr>
          <w:p>
            <w:pPr>
              <w:spacing w:after="20"/>
            </w:pPr>
            <w:r/>
            <w:r>
              <w:rPr>
                <w:b w:val="0"/>
                <w:sz w:val="17"/>
              </w:rPr>
              <w:t>20%</w:t>
            </w:r>
          </w:p>
        </w:tc>
      </w:tr>
      <w:tr>
        <w:trPr>
          <w:cantSplit/>
        </w:trPr>
        <w:tc>
          <w:tcPr>
            <w:tcW w:type="dxa" w:w="2484"/>
            <w:shd w:val="clear" w:fill="EEF4F8"/>
          </w:tcPr>
          <w:p>
            <w:pPr>
              <w:spacing w:after="20"/>
            </w:pPr>
            <w:r/>
            <w:r>
              <w:rPr>
                <w:b w:val="0"/>
                <w:sz w:val="17"/>
              </w:rPr>
              <w:t>Value Proposition</w:t>
            </w:r>
          </w:p>
        </w:tc>
        <w:tc>
          <w:tcPr>
            <w:tcW w:type="dxa" w:w="2484"/>
            <w:shd w:val="clear" w:fill="EEF4F8"/>
          </w:tcPr>
          <w:p>
            <w:pPr>
              <w:spacing w:after="20"/>
            </w:pPr>
            <w:r/>
            <w:r>
              <w:rPr>
                <w:b w:val="0"/>
                <w:sz w:val="17"/>
              </w:rPr>
              <w:t>337</w:t>
            </w:r>
          </w:p>
        </w:tc>
        <w:tc>
          <w:tcPr>
            <w:tcW w:type="dxa" w:w="2484"/>
            <w:shd w:val="clear" w:fill="EEF4F8"/>
          </w:tcPr>
          <w:p>
            <w:pPr>
              <w:spacing w:after="20"/>
            </w:pPr>
            <w:r/>
            <w:r>
              <w:rPr>
                <w:b w:val="0"/>
                <w:sz w:val="17"/>
              </w:rPr>
              <w:t>$202,527,589</w:t>
            </w:r>
          </w:p>
        </w:tc>
        <w:tc>
          <w:tcPr>
            <w:tcW w:type="dxa" w:w="2484"/>
            <w:shd w:val="clear" w:fill="EEF4F8"/>
          </w:tcPr>
          <w:p>
            <w:pPr>
              <w:spacing w:after="20"/>
            </w:pPr>
            <w:r/>
            <w:r>
              <w:rPr>
                <w:b w:val="0"/>
                <w:sz w:val="17"/>
              </w:rPr>
              <w:t>50%</w:t>
            </w:r>
          </w:p>
        </w:tc>
      </w:tr>
      <w:tr>
        <w:trPr>
          <w:cantSplit/>
        </w:trPr>
        <w:tc>
          <w:tcPr>
            <w:tcW w:type="dxa" w:w="2484"/>
          </w:tcPr>
          <w:p>
            <w:pPr>
              <w:spacing w:after="20"/>
            </w:pPr>
            <w:r/>
            <w:r>
              <w:rPr>
                <w:b/>
                <w:sz w:val="17"/>
              </w:rPr>
              <w:t>Total</w:t>
            </w:r>
          </w:p>
        </w:tc>
        <w:tc>
          <w:tcPr>
            <w:tcW w:type="dxa" w:w="2484"/>
          </w:tcPr>
          <w:p>
            <w:pPr>
              <w:spacing w:after="20"/>
            </w:pPr>
            <w:r/>
            <w:r>
              <w:rPr>
                <w:b/>
                <w:sz w:val="17"/>
              </w:rPr>
              <w:t>3,201</w:t>
            </w:r>
          </w:p>
        </w:tc>
        <w:tc>
          <w:tcPr>
            <w:tcW w:type="dxa" w:w="2484"/>
          </w:tcPr>
          <w:p>
            <w:pPr>
              <w:spacing w:after="20"/>
            </w:pPr>
            <w:r/>
            <w:r>
              <w:rPr>
                <w:b/>
                <w:sz w:val="17"/>
              </w:rPr>
              <w:t>$1,903,302,819</w:t>
            </w:r>
          </w:p>
        </w:tc>
        <w:tc>
          <w:tcPr>
            <w:tcW w:type="dxa" w:w="2484"/>
          </w:tcPr>
          <w:p>
            <w:pPr>
              <w:spacing w:after="20"/>
            </w:pPr>
            <w:r/>
            <w:r>
              <w:rPr>
                <w:b w:val="0"/>
                <w:sz w:val="17"/>
              </w:rPr>
              <w:t>—</w:t>
            </w:r>
          </w:p>
        </w:tc>
      </w:tr>
    </w:tbl>
    <w:p>
      <w:pPr>
        <w:spacing w:after="80"/>
      </w:pPr>
    </w:p>
    <w:p>
      <w:pPr>
        <w:spacing w:after="120"/>
      </w:pPr>
      <w:r>
        <w:rPr>
          <w:b/>
          <w:i w:val="0"/>
          <w:sz w:val="20"/>
        </w:rPr>
        <w:t>The consequence: the Sales Forecast page demonstrates method, not a forward call.</w:t>
      </w:r>
      <w:r>
        <w:rPr>
          <w:b w:val="0"/>
          <w:i w:val="0"/>
          <w:sz w:val="20"/>
        </w:rPr>
        <w:t xml:space="preserve"> It shows a prediction table, an attainment series and a model-metrics table wired correctly together over a horizon that has already passed. That is a legitimate thing to demonstrate — the mechanism is what a customer is evaluating — but it must be framed as the mechanism. Presenting $1.9bn of elapsed pipeline as forward coverage is a claim the data does not support, and it is the kind of claim an architect in the room will test.</w:t>
      </w:r>
    </w:p>
    <w:p>
      <w:pPr>
        <w:spacing w:after="120"/>
      </w:pPr>
      <w:r>
        <w:rPr>
          <w:b w:val="0"/>
          <w:i w:val="0"/>
          <w:sz w:val="20"/>
        </w:rPr>
        <w:t>Two secondary observations from the same table, both worth a sentence on a call:</w:t>
      </w:r>
    </w:p>
    <w:p>
      <w:pPr>
        <w:spacing w:after="120"/>
      </w:pPr>
      <w:r>
        <w:rPr>
          <w:b/>
          <w:i w:val="0"/>
          <w:sz w:val="20"/>
        </w:rPr>
        <w:t>The funnel is not a funnel.</w:t>
      </w:r>
      <w:r>
        <w:rPr>
          <w:b w:val="0"/>
          <w:i w:val="0"/>
          <w:sz w:val="20"/>
        </w:rPr>
        <w:t xml:space="preserve"> Stage counts run 337 to 532 and stage values $202.5m to $298.0m — a near-uniform distribution. A real pipeline narrows toward close. This one does not, which is the generator showing through. Any conversion or stage-velocity analysis over it will produce arithmetic rather than insight.</w:t>
      </w:r>
    </w:p>
    <w:p>
      <w:pPr>
        <w:spacing w:after="120"/>
      </w:pPr>
      <w:r>
        <w:rPr>
          <w:b/>
          <w:i w:val="0"/>
          <w:sz w:val="20"/>
        </w:rPr>
        <w:t>Probability is stage-derived, not deal-derived.</w:t>
      </w:r>
      <w:r>
        <w:rPr>
          <w:b w:val="0"/>
          <w:i w:val="0"/>
          <w:sz w:val="20"/>
        </w:rPr>
        <w:t xml:space="preserve"> Every stage returns a whole, constant average probability — 10, 20, 40, 50, 60, 70, 75, 90. The probability column is a lookup on stage name, not a per-deal judgement, so a probability-weighted pipeline is a re-expression of the stage mix and adds no information beyond it.</w:t>
      </w:r>
    </w:p>
    <w:p>
      <w:pPr>
        <w:keepNext/>
        <w:spacing w:before="160" w:after="40"/>
        <w:outlineLvl w:val="2"/>
      </w:pPr>
      <w:r>
        <w:rPr>
          <w:b/>
          <w:color w:val="29B5E8"/>
          <w:sz w:val="20"/>
        </w:rPr>
        <w:t>How to say it</w:t>
      </w:r>
    </w:p>
    <w:p>
      <w:pPr>
        <w:spacing w:after="120"/>
        <w:ind w:left="360"/>
      </w:pPr>
      <w:r>
        <w:rPr>
          <w:b w:val="0"/>
          <w:i/>
          <w:color w:val="5A6A7A"/>
          <w:sz w:val="19"/>
        </w:rPr>
        <w:t>All 3,201 open opportunities in this dataset have a close date in the past — the generated close-date window has elapsed. The pipeline distribution and the forecasting mechanism are real; the horizon is not. What you are seeing on this page is how the forecast is produced, not what it predicts.</w:t>
      </w:r>
    </w:p>
    <w:p>
      <w:pPr>
        <w:spacing w:before="80" w:after="160"/>
        <w:jc w:val="center"/>
      </w:pPr>
      <w:r>
        <w:rPr>
          <w:color w:val="C8D4DE"/>
          <w:sz w:val="12"/>
        </w:rPr>
        <w:t>──────────────────────────────────────────────────────────</w:t>
      </w:r>
    </w:p>
    <w:p>
      <w:pPr>
        <w:keepNext/>
        <w:spacing w:before="240" w:after="60"/>
        <w:outlineLvl w:val="1"/>
      </w:pPr>
      <w:r>
        <w:rPr>
          <w:b/>
          <w:color w:val="1B3A57"/>
          <w:sz w:val="23"/>
        </w:rPr>
        <w:t>L1 is not zero-copy</w:t>
      </w:r>
    </w:p>
    <w:p>
      <w:pPr>
        <w:spacing w:after="120"/>
      </w:pPr>
      <w:r>
        <w:rPr>
          <w:b/>
          <w:i w:val="0"/>
          <w:sz w:val="20"/>
        </w:rPr>
        <w:t>Severity: medium — architectural, with a clear and cheap fix.</w:t>
      </w:r>
    </w:p>
    <w:p>
      <w:pPr>
        <w:spacing w:after="120"/>
      </w:pPr>
      <w:r>
        <w:rPr>
          <w:b w:val="0"/>
          <w:i w:val="0"/>
          <w:sz w:val="20"/>
        </w:rPr>
        <w:t>The zero-copy story holds at the L0 boundary and stops immediately above it.</w:t>
      </w:r>
    </w:p>
    <w:tbl>
      <w:tblPr>
        <w:tblStyle w:val="TableGrid"/>
        <w:tblW w:type="auto" w:w="0"/>
        <w:jc w:val="left"/>
        <w:tblLayout w:type="fixed"/>
        <w:tblLook w:firstColumn="1" w:firstRow="1" w:lastColumn="0" w:lastRow="0" w:noHBand="0" w:noVBand="1" w:val="04A0"/>
        <w:tblLayout w:type="fixed"/>
      </w:tblPr>
      <w:tblGrid>
        <w:gridCol w:w="1656"/>
        <w:gridCol w:w="1655"/>
        <w:gridCol w:w="1655"/>
        <w:gridCol w:w="1655"/>
        <w:gridCol w:w="1655"/>
        <w:gridCol w:w="1655"/>
      </w:tblGrid>
      <w:tr>
        <w:trPr>
          <w:cantSplit/>
          <w:tblHeader/>
        </w:trPr>
        <w:tc>
          <w:tcPr>
            <w:tcW w:type="dxa" w:w="1656"/>
            <w:shd w:val="clear" w:fill="1B3A57"/>
          </w:tcPr>
          <w:p>
            <w:pPr>
              <w:spacing w:after="20"/>
            </w:pPr>
            <w:r/>
            <w:r>
              <w:rPr>
                <w:b/>
                <w:color w:val="FFFFFF"/>
                <w:sz w:val="17"/>
              </w:rPr>
              <w:t>Layer</w:t>
            </w:r>
          </w:p>
        </w:tc>
        <w:tc>
          <w:tcPr>
            <w:tcW w:type="dxa" w:w="1656"/>
            <w:shd w:val="clear" w:fill="1B3A57"/>
          </w:tcPr>
          <w:p>
            <w:pPr>
              <w:spacing w:after="20"/>
            </w:pPr>
            <w:r/>
            <w:r>
              <w:rPr>
                <w:b/>
                <w:color w:val="FFFFFF"/>
                <w:sz w:val="17"/>
              </w:rPr>
              <w:t>Objects</w:t>
            </w:r>
          </w:p>
        </w:tc>
        <w:tc>
          <w:tcPr>
            <w:tcW w:type="dxa" w:w="1656"/>
            <w:shd w:val="clear" w:fill="1B3A57"/>
          </w:tcPr>
          <w:p>
            <w:pPr>
              <w:spacing w:after="20"/>
            </w:pPr>
            <w:r/>
            <w:r>
              <w:rPr>
                <w:b/>
                <w:color w:val="FFFFFF"/>
                <w:sz w:val="17"/>
              </w:rPr>
              <w:t>Object type</w:t>
            </w:r>
          </w:p>
        </w:tc>
        <w:tc>
          <w:tcPr>
            <w:tcW w:type="dxa" w:w="1656"/>
            <w:shd w:val="clear" w:fill="1B3A57"/>
          </w:tcPr>
          <w:p>
            <w:pPr>
              <w:spacing w:after="20"/>
            </w:pPr>
            <w:r/>
            <w:r>
              <w:rPr>
                <w:b/>
                <w:color w:val="FFFFFF"/>
                <w:sz w:val="17"/>
              </w:rPr>
              <w:t>Dynamic tables</w:t>
            </w:r>
          </w:p>
        </w:tc>
        <w:tc>
          <w:tcPr>
            <w:tcW w:type="dxa" w:w="1656"/>
            <w:shd w:val="clear" w:fill="1B3A57"/>
          </w:tcPr>
          <w:p>
            <w:pPr>
              <w:spacing w:after="20"/>
            </w:pPr>
            <w:r/>
            <w:r>
              <w:rPr>
                <w:b/>
                <w:color w:val="FFFFFF"/>
                <w:sz w:val="17"/>
              </w:rPr>
              <w:t>Rows</w:t>
            </w:r>
          </w:p>
        </w:tc>
        <w:tc>
          <w:tcPr>
            <w:tcW w:type="dxa" w:w="1656"/>
            <w:shd w:val="clear" w:fill="1B3A57"/>
          </w:tcPr>
          <w:p>
            <w:pPr>
              <w:spacing w:after="20"/>
            </w:pPr>
            <w:r/>
            <w:r>
              <w:rPr>
                <w:b/>
                <w:color w:val="FFFFFF"/>
                <w:sz w:val="17"/>
              </w:rPr>
              <w:t>Storage added</w:t>
            </w:r>
          </w:p>
        </w:tc>
      </w:tr>
      <w:tr>
        <w:trPr>
          <w:cantSplit/>
        </w:trPr>
        <w:tc>
          <w:tcPr>
            <w:tcW w:type="dxa" w:w="1656"/>
          </w:tcPr>
          <w:p>
            <w:pPr>
              <w:spacing w:after="20"/>
            </w:pPr>
            <w:r/>
            <w:r>
              <w:rPr>
                <w:b w:val="0"/>
                <w:sz w:val="17"/>
              </w:rPr>
              <w:t>L1, Sales 360</w:t>
            </w:r>
          </w:p>
        </w:tc>
        <w:tc>
          <w:tcPr>
            <w:tcW w:type="dxa" w:w="1656"/>
          </w:tcPr>
          <w:p>
            <w:pPr>
              <w:spacing w:after="20"/>
            </w:pPr>
            <w:r/>
            <w:r>
              <w:rPr>
                <w:b w:val="0"/>
                <w:sz w:val="17"/>
              </w:rPr>
              <w:t>31</w:t>
            </w:r>
          </w:p>
        </w:tc>
        <w:tc>
          <w:tcPr>
            <w:tcW w:type="dxa" w:w="1656"/>
          </w:tcPr>
          <w:p>
            <w:pPr>
              <w:spacing w:after="20"/>
            </w:pPr>
            <w:r/>
            <w:r>
              <w:rPr>
                <w:rFonts w:ascii="Consolas" w:hAnsi="Consolas"/>
                <w:b w:val="0"/>
                <w:color w:val="1B5E8C"/>
                <w:sz w:val="16"/>
              </w:rPr>
              <w:t>BASE TABLE</w:t>
            </w:r>
          </w:p>
        </w:tc>
        <w:tc>
          <w:tcPr>
            <w:tcW w:type="dxa" w:w="1656"/>
          </w:tcPr>
          <w:p>
            <w:pPr>
              <w:spacing w:after="20"/>
            </w:pPr>
            <w:r/>
            <w:r>
              <w:rPr>
                <w:b w:val="0"/>
                <w:sz w:val="17"/>
              </w:rPr>
              <w:t>0</w:t>
            </w:r>
          </w:p>
        </w:tc>
        <w:tc>
          <w:tcPr>
            <w:tcW w:type="dxa" w:w="1656"/>
          </w:tcPr>
          <w:p>
            <w:pPr>
              <w:spacing w:after="20"/>
            </w:pPr>
            <w:r/>
            <w:r>
              <w:rPr>
                <w:b w:val="0"/>
                <w:sz w:val="17"/>
              </w:rPr>
              <w:t>2,551,850</w:t>
            </w:r>
          </w:p>
        </w:tc>
        <w:tc>
          <w:tcPr>
            <w:tcW w:type="dxa" w:w="1656"/>
          </w:tcPr>
          <w:p>
            <w:pPr>
              <w:spacing w:after="20"/>
            </w:pPr>
            <w:r/>
            <w:r>
              <w:rPr>
                <w:b w:val="0"/>
                <w:sz w:val="17"/>
              </w:rPr>
              <w:t>all of it</w:t>
            </w:r>
          </w:p>
        </w:tc>
      </w:tr>
      <w:tr>
        <w:trPr>
          <w:cantSplit/>
        </w:trPr>
        <w:tc>
          <w:tcPr>
            <w:tcW w:type="dxa" w:w="1656"/>
            <w:shd w:val="clear" w:fill="EEF4F8"/>
          </w:tcPr>
          <w:p>
            <w:pPr>
              <w:spacing w:after="20"/>
            </w:pPr>
            <w:r/>
            <w:r>
              <w:rPr>
                <w:b w:val="0"/>
                <w:sz w:val="17"/>
              </w:rPr>
              <w:t>L1, Finance 360</w:t>
            </w:r>
          </w:p>
        </w:tc>
        <w:tc>
          <w:tcPr>
            <w:tcW w:type="dxa" w:w="1656"/>
            <w:shd w:val="clear" w:fill="EEF4F8"/>
          </w:tcPr>
          <w:p>
            <w:pPr>
              <w:spacing w:after="20"/>
            </w:pPr>
            <w:r/>
            <w:r>
              <w:rPr>
                <w:b w:val="0"/>
                <w:sz w:val="17"/>
              </w:rPr>
              <w:t>6</w:t>
            </w:r>
          </w:p>
        </w:tc>
        <w:tc>
          <w:tcPr>
            <w:tcW w:type="dxa" w:w="1656"/>
            <w:shd w:val="clear" w:fill="EEF4F8"/>
          </w:tcPr>
          <w:p>
            <w:pPr>
              <w:spacing w:after="20"/>
            </w:pPr>
            <w:r/>
            <w:r>
              <w:rPr>
                <w:rFonts w:ascii="Consolas" w:hAnsi="Consolas"/>
                <w:b w:val="0"/>
                <w:color w:val="1B5E8C"/>
                <w:sz w:val="16"/>
              </w:rPr>
              <w:t>VIEW</w:t>
            </w:r>
          </w:p>
        </w:tc>
        <w:tc>
          <w:tcPr>
            <w:tcW w:type="dxa" w:w="1656"/>
            <w:shd w:val="clear" w:fill="EEF4F8"/>
          </w:tcPr>
          <w:p>
            <w:pPr>
              <w:spacing w:after="20"/>
            </w:pPr>
            <w:r/>
            <w:r>
              <w:rPr>
                <w:b w:val="0"/>
                <w:sz w:val="17"/>
              </w:rPr>
              <w:t>0</w:t>
            </w:r>
          </w:p>
        </w:tc>
        <w:tc>
          <w:tcPr>
            <w:tcW w:type="dxa" w:w="1656"/>
            <w:shd w:val="clear" w:fill="EEF4F8"/>
          </w:tcPr>
          <w:p>
            <w:pPr>
              <w:spacing w:after="20"/>
            </w:pPr>
            <w:r/>
            <w:r>
              <w:rPr>
                <w:b w:val="0"/>
                <w:sz w:val="17"/>
              </w:rPr>
              <w:t>—</w:t>
            </w:r>
          </w:p>
        </w:tc>
        <w:tc>
          <w:tcPr>
            <w:tcW w:type="dxa" w:w="1656"/>
            <w:shd w:val="clear" w:fill="EEF4F8"/>
          </w:tcPr>
          <w:p>
            <w:pPr>
              <w:spacing w:after="20"/>
            </w:pPr>
            <w:r/>
            <w:r>
              <w:rPr>
                <w:b w:val="0"/>
                <w:sz w:val="17"/>
              </w:rPr>
              <w:t>none</w:t>
            </w:r>
          </w:p>
        </w:tc>
      </w:tr>
    </w:tbl>
    <w:p>
      <w:pPr>
        <w:spacing w:after="80"/>
      </w:pPr>
    </w:p>
    <w:p>
      <w:pPr>
        <w:spacing w:after="120"/>
      </w:pPr>
      <w:r>
        <w:rPr>
          <w:rFonts w:ascii="Consolas" w:hAnsi="Consolas"/>
          <w:b w:val="0"/>
          <w:i w:val="0"/>
          <w:color w:val="1B5E8C"/>
          <w:sz w:val="19"/>
        </w:rPr>
        <w:t>SHOW DYNAMIC TABLES IN SAP_BDC_L1</w:t>
      </w:r>
      <w:r>
        <w:rPr>
          <w:b w:val="0"/>
          <w:i w:val="0"/>
          <w:sz w:val="20"/>
        </w:rPr>
        <w:t xml:space="preserve"> returns zero rows and </w:t>
      </w:r>
      <w:r>
        <w:rPr>
          <w:rFonts w:ascii="Consolas" w:hAnsi="Consolas"/>
          <w:b w:val="0"/>
          <w:i w:val="0"/>
          <w:color w:val="1B5E8C"/>
          <w:sz w:val="19"/>
        </w:rPr>
        <w:t>INFORMATION_SCHEMA.TABLES</w:t>
      </w:r>
      <w:r>
        <w:rPr>
          <w:b w:val="0"/>
          <w:i w:val="0"/>
          <w:sz w:val="20"/>
        </w:rPr>
        <w:t xml:space="preserve"> returns 31 base tables. L1 is a materialised copy of the share.</w:t>
      </w:r>
    </w:p>
    <w:p>
      <w:pPr>
        <w:spacing w:after="120"/>
      </w:pPr>
      <w:r>
        <w:rPr>
          <w:b w:val="0"/>
          <w:i w:val="0"/>
          <w:sz w:val="20"/>
        </w:rPr>
        <w:t>And most of it is then copied again. Ten object names appear in both L1 and L2 with identical row counts: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Object</w:t>
            </w:r>
          </w:p>
        </w:tc>
        <w:tc>
          <w:tcPr>
            <w:tcW w:type="dxa" w:w="7056"/>
            <w:shd w:val="clear" w:fill="1B3A57"/>
          </w:tcPr>
          <w:p>
            <w:pPr>
              <w:spacing w:after="20"/>
            </w:pPr>
            <w:r/>
            <w:r>
              <w:rPr>
                <w:b/>
                <w:color w:val="FFFFFF"/>
                <w:sz w:val="17"/>
              </w:rPr>
              <w:t>Rows, stored in both layers</w:t>
            </w:r>
          </w:p>
        </w:tc>
      </w:tr>
      <w:tr>
        <w:trPr>
          <w:cantSplit/>
        </w:trPr>
        <w:tc>
          <w:tcPr>
            <w:tcW w:type="dxa" w:w="2880"/>
          </w:tcPr>
          <w:p>
            <w:pPr>
              <w:spacing w:after="20"/>
            </w:pPr>
            <w:r/>
            <w:r>
              <w:rPr>
                <w:rFonts w:ascii="Consolas" w:hAnsi="Consolas"/>
                <w:b w:val="0"/>
                <w:color w:val="1B5E8C"/>
                <w:sz w:val="16"/>
              </w:rPr>
              <w:t>SALESORDERS_SALESORDERITEM</w:t>
            </w:r>
          </w:p>
        </w:tc>
        <w:tc>
          <w:tcPr>
            <w:tcW w:type="dxa" w:w="7056"/>
          </w:tcPr>
          <w:p>
            <w:pPr>
              <w:spacing w:after="20"/>
            </w:pPr>
            <w:r/>
            <w:r>
              <w:rPr>
                <w:b w:val="0"/>
                <w:sz w:val="17"/>
              </w:rPr>
              <w:t>735,305</w:t>
            </w:r>
          </w:p>
        </w:tc>
      </w:tr>
      <w:tr>
        <w:trPr>
          <w:cantSplit/>
        </w:trPr>
        <w:tc>
          <w:tcPr>
            <w:tcW w:type="dxa" w:w="2880"/>
            <w:shd w:val="clear" w:fill="EEF4F8"/>
          </w:tcPr>
          <w:p>
            <w:pPr>
              <w:spacing w:after="20"/>
            </w:pPr>
            <w:r/>
            <w:r>
              <w:rPr>
                <w:rFonts w:ascii="Consolas" w:hAnsi="Consolas"/>
                <w:b w:val="0"/>
                <w:color w:val="1B5E8C"/>
                <w:sz w:val="16"/>
              </w:rPr>
              <w:t>SALESORDERS_SALESORDER</w:t>
            </w:r>
          </w:p>
        </w:tc>
        <w:tc>
          <w:tcPr>
            <w:tcW w:type="dxa" w:w="7056"/>
            <w:shd w:val="clear" w:fill="EEF4F8"/>
          </w:tcPr>
          <w:p>
            <w:pPr>
              <w:spacing w:after="20"/>
            </w:pPr>
            <w:r/>
            <w:r>
              <w:rPr>
                <w:b w:val="0"/>
                <w:sz w:val="17"/>
              </w:rPr>
              <w:t>558,011</w:t>
            </w:r>
          </w:p>
        </w:tc>
      </w:tr>
      <w:tr>
        <w:trPr>
          <w:cantSplit/>
        </w:trPr>
        <w:tc>
          <w:tcPr>
            <w:tcW w:type="dxa" w:w="2880"/>
          </w:tcPr>
          <w:p>
            <w:pPr>
              <w:spacing w:after="20"/>
            </w:pPr>
            <w:r/>
            <w:r>
              <w:rPr>
                <w:rFonts w:ascii="Consolas" w:hAnsi="Consolas"/>
                <w:b w:val="0"/>
                <w:color w:val="1B5E8C"/>
                <w:sz w:val="16"/>
              </w:rPr>
              <w:t>PRODUCT_PRODUCTDESCRIPTION</w:t>
            </w:r>
          </w:p>
        </w:tc>
        <w:tc>
          <w:tcPr>
            <w:tcW w:type="dxa" w:w="7056"/>
          </w:tcPr>
          <w:p>
            <w:pPr>
              <w:spacing w:after="20"/>
            </w:pPr>
            <w:r/>
            <w:r>
              <w:rPr>
                <w:b w:val="0"/>
                <w:sz w:val="17"/>
              </w:rPr>
              <w:t>73,242</w:t>
            </w:r>
          </w:p>
        </w:tc>
      </w:tr>
      <w:tr>
        <w:trPr>
          <w:cantSplit/>
        </w:trPr>
        <w:tc>
          <w:tcPr>
            <w:tcW w:type="dxa" w:w="2880"/>
            <w:shd w:val="clear" w:fill="EEF4F8"/>
          </w:tcPr>
          <w:p>
            <w:pPr>
              <w:spacing w:after="20"/>
            </w:pPr>
            <w:r/>
            <w:r>
              <w:rPr>
                <w:rFonts w:ascii="Consolas" w:hAnsi="Consolas"/>
                <w:b w:val="0"/>
                <w:color w:val="1B5E8C"/>
                <w:sz w:val="16"/>
              </w:rPr>
              <w:t>CRM_OPPORTUNITY_ACTIVITY</w:t>
            </w:r>
          </w:p>
        </w:tc>
        <w:tc>
          <w:tcPr>
            <w:tcW w:type="dxa" w:w="7056"/>
            <w:shd w:val="clear" w:fill="EEF4F8"/>
          </w:tcPr>
          <w:p>
            <w:pPr>
              <w:spacing w:after="20"/>
            </w:pPr>
            <w:r/>
            <w:r>
              <w:rPr>
                <w:b w:val="0"/>
                <w:sz w:val="17"/>
              </w:rPr>
              <w:t>35,313</w:t>
            </w:r>
          </w:p>
        </w:tc>
      </w:tr>
      <w:tr>
        <w:trPr>
          <w:cantSplit/>
        </w:trPr>
        <w:tc>
          <w:tcPr>
            <w:tcW w:type="dxa" w:w="2880"/>
          </w:tcPr>
          <w:p>
            <w:pPr>
              <w:spacing w:after="20"/>
            </w:pPr>
            <w:r/>
            <w:r>
              <w:rPr>
                <w:rFonts w:ascii="Consolas" w:hAnsi="Consolas"/>
                <w:b w:val="0"/>
                <w:color w:val="1B5E8C"/>
                <w:sz w:val="16"/>
              </w:rPr>
              <w:t>PRODUCT_PRODUCT</w:t>
            </w:r>
          </w:p>
        </w:tc>
        <w:tc>
          <w:tcPr>
            <w:tcW w:type="dxa" w:w="7056"/>
          </w:tcPr>
          <w:p>
            <w:pPr>
              <w:spacing w:after="20"/>
            </w:pPr>
            <w:r/>
            <w:r>
              <w:rPr>
                <w:b w:val="0"/>
                <w:sz w:val="17"/>
              </w:rPr>
              <w:t>16,337</w:t>
            </w:r>
          </w:p>
        </w:tc>
      </w:tr>
      <w:tr>
        <w:trPr>
          <w:cantSplit/>
        </w:trPr>
        <w:tc>
          <w:tcPr>
            <w:tcW w:type="dxa" w:w="2880"/>
            <w:shd w:val="clear" w:fill="EEF4F8"/>
          </w:tcPr>
          <w:p>
            <w:pPr>
              <w:spacing w:after="20"/>
            </w:pPr>
            <w:r/>
            <w:r>
              <w:rPr>
                <w:rFonts w:ascii="Consolas" w:hAnsi="Consolas"/>
                <w:b w:val="0"/>
                <w:color w:val="1B5E8C"/>
                <w:sz w:val="16"/>
              </w:rPr>
              <w:t>PRODUCT_PRODUCTGROUPTEXT</w:t>
            </w:r>
          </w:p>
        </w:tc>
        <w:tc>
          <w:tcPr>
            <w:tcW w:type="dxa" w:w="7056"/>
            <w:shd w:val="clear" w:fill="EEF4F8"/>
          </w:tcPr>
          <w:p>
            <w:pPr>
              <w:spacing w:after="20"/>
            </w:pPr>
            <w:r/>
            <w:r>
              <w:rPr>
                <w:b w:val="0"/>
                <w:sz w:val="17"/>
              </w:rPr>
              <w:t>11,168</w:t>
            </w:r>
          </w:p>
        </w:tc>
      </w:tr>
      <w:tr>
        <w:trPr>
          <w:cantSplit/>
        </w:trPr>
        <w:tc>
          <w:tcPr>
            <w:tcW w:type="dxa" w:w="2880"/>
          </w:tcPr>
          <w:p>
            <w:pPr>
              <w:spacing w:after="20"/>
            </w:pPr>
            <w:r/>
            <w:r>
              <w:rPr>
                <w:rFonts w:ascii="Consolas" w:hAnsi="Consolas"/>
                <w:b w:val="0"/>
                <w:color w:val="1B5E8C"/>
                <w:sz w:val="16"/>
              </w:rPr>
              <w:t>CRM_OPPORTUNITY_OPPORTUNITY</w:t>
            </w:r>
          </w:p>
        </w:tc>
        <w:tc>
          <w:tcPr>
            <w:tcW w:type="dxa" w:w="7056"/>
          </w:tcPr>
          <w:p>
            <w:pPr>
              <w:spacing w:after="20"/>
            </w:pPr>
            <w:r/>
            <w:r>
              <w:rPr>
                <w:b w:val="0"/>
                <w:sz w:val="17"/>
              </w:rPr>
              <w:t>3,774</w:t>
            </w:r>
          </w:p>
        </w:tc>
      </w:tr>
      <w:tr>
        <w:trPr>
          <w:cantSplit/>
        </w:trPr>
        <w:tc>
          <w:tcPr>
            <w:tcW w:type="dxa" w:w="2880"/>
            <w:shd w:val="clear" w:fill="EEF4F8"/>
          </w:tcPr>
          <w:p>
            <w:pPr>
              <w:spacing w:after="20"/>
            </w:pPr>
            <w:r/>
            <w:r>
              <w:rPr>
                <w:rFonts w:ascii="Consolas" w:hAnsi="Consolas"/>
                <w:b w:val="0"/>
                <w:color w:val="1B5E8C"/>
                <w:sz w:val="16"/>
              </w:rPr>
              <w:t>CUSTOMER_CUSTOMER</w:t>
            </w:r>
          </w:p>
        </w:tc>
        <w:tc>
          <w:tcPr>
            <w:tcW w:type="dxa" w:w="7056"/>
            <w:shd w:val="clear" w:fill="EEF4F8"/>
          </w:tcPr>
          <w:p>
            <w:pPr>
              <w:spacing w:after="20"/>
            </w:pPr>
            <w:r/>
            <w:r>
              <w:rPr>
                <w:b w:val="0"/>
                <w:sz w:val="17"/>
              </w:rPr>
              <w:t>3,189</w:t>
            </w:r>
          </w:p>
        </w:tc>
      </w:tr>
      <w:tr>
        <w:trPr>
          <w:cantSplit/>
        </w:trPr>
        <w:tc>
          <w:tcPr>
            <w:tcW w:type="dxa" w:w="2880"/>
          </w:tcPr>
          <w:p>
            <w:pPr>
              <w:spacing w:after="20"/>
            </w:pPr>
            <w:r/>
            <w:r>
              <w:rPr>
                <w:rFonts w:ascii="Consolas" w:hAnsi="Consolas"/>
                <w:b w:val="0"/>
                <w:color w:val="1B5E8C"/>
                <w:sz w:val="16"/>
              </w:rPr>
              <w:t>PRODUCT_PRODUCTGROUP</w:t>
            </w:r>
          </w:p>
        </w:tc>
        <w:tc>
          <w:tcPr>
            <w:tcW w:type="dxa" w:w="7056"/>
          </w:tcPr>
          <w:p>
            <w:pPr>
              <w:spacing w:after="20"/>
            </w:pPr>
            <w:r/>
            <w:r>
              <w:rPr>
                <w:b w:val="0"/>
                <w:sz w:val="17"/>
              </w:rPr>
              <w:t>1,023</w:t>
            </w:r>
          </w:p>
        </w:tc>
      </w:tr>
      <w:tr>
        <w:trPr>
          <w:cantSplit/>
        </w:trPr>
        <w:tc>
          <w:tcPr>
            <w:tcW w:type="dxa" w:w="2880"/>
            <w:shd w:val="clear" w:fill="EEF4F8"/>
          </w:tcPr>
          <w:p>
            <w:pPr>
              <w:spacing w:after="20"/>
            </w:pPr>
            <w:r/>
            <w:r>
              <w:rPr>
                <w:rFonts w:ascii="Consolas" w:hAnsi="Consolas"/>
                <w:b w:val="0"/>
                <w:color w:val="1B5E8C"/>
                <w:sz w:val="16"/>
              </w:rPr>
              <w:t>CRM_OPPORTUNITY_SALES_REP</w:t>
            </w:r>
          </w:p>
        </w:tc>
        <w:tc>
          <w:tcPr>
            <w:tcW w:type="dxa" w:w="7056"/>
            <w:shd w:val="clear" w:fill="EEF4F8"/>
          </w:tcPr>
          <w:p>
            <w:pPr>
              <w:spacing w:after="20"/>
            </w:pPr>
            <w:r/>
            <w:r>
              <w:rPr>
                <w:b w:val="0"/>
                <w:sz w:val="17"/>
              </w:rPr>
              <w:t>8</w:t>
            </w:r>
          </w:p>
        </w:tc>
      </w:tr>
      <w:tr>
        <w:trPr>
          <w:cantSplit/>
        </w:trPr>
        <w:tc>
          <w:tcPr>
            <w:tcW w:type="dxa" w:w="2880"/>
          </w:tcPr>
          <w:p>
            <w:pPr>
              <w:spacing w:after="20"/>
            </w:pPr>
            <w:r/>
            <w:r>
              <w:rPr>
                <w:b/>
                <w:sz w:val="17"/>
              </w:rPr>
              <w:t>Total duplicated</w:t>
            </w:r>
          </w:p>
        </w:tc>
        <w:tc>
          <w:tcPr>
            <w:tcW w:type="dxa" w:w="7056"/>
          </w:tcPr>
          <w:p>
            <w:pPr>
              <w:spacing w:after="20"/>
            </w:pPr>
            <w:r/>
            <w:r>
              <w:rPr>
                <w:b/>
                <w:sz w:val="17"/>
              </w:rPr>
              <w:t>1,437,370</w:t>
            </w:r>
          </w:p>
        </w:tc>
      </w:tr>
    </w:tbl>
    <w:p>
      <w:pPr>
        <w:spacing w:after="80"/>
      </w:pPr>
    </w:p>
    <w:p>
      <w:pPr>
        <w:spacing w:after="120"/>
      </w:pPr>
      <w:r>
        <w:rPr>
          <w:b w:val="0"/>
          <w:i w:val="0"/>
          <w:sz w:val="20"/>
        </w:rPr>
        <w:t xml:space="preserve">That is </w:t>
      </w:r>
      <w:r>
        <w:rPr>
          <w:b/>
          <w:i w:val="0"/>
          <w:sz w:val="20"/>
        </w:rPr>
        <w:t>97.2% of L2's 1,478,495 rows</w:t>
      </w:r>
      <w:r>
        <w:rPr>
          <w:b w:val="0"/>
          <w:i w:val="0"/>
          <w:sz w:val="20"/>
        </w:rPr>
        <w:t xml:space="preserve"> and </w:t>
      </w:r>
      <w:r>
        <w:rPr>
          <w:b/>
          <w:i w:val="0"/>
          <w:sz w:val="20"/>
        </w:rPr>
        <w:t>56.3% of L1's 2,551,850</w:t>
      </w:r>
      <w:r>
        <w:rPr>
          <w:b w:val="0"/>
          <w:i w:val="0"/>
          <w:sz w:val="20"/>
        </w:rPr>
        <w:t xml:space="preserve">. Only 41,125 rows in L2 are genuinely new: </w:t>
      </w:r>
      <w:r>
        <w:rPr>
          <w:rFonts w:ascii="Consolas" w:hAnsi="Consolas"/>
          <w:b w:val="0"/>
          <w:i w:val="0"/>
          <w:color w:val="1B5E8C"/>
          <w:sz w:val="19"/>
        </w:rPr>
        <w:t>SALES_FORECAST_VS_ACTUAL</w:t>
      </w:r>
      <w:r>
        <w:rPr>
          <w:b w:val="0"/>
          <w:i w:val="0"/>
          <w:sz w:val="20"/>
        </w:rPr>
        <w:t xml:space="preserve"> at 41,100 and the three ML tables at 25 between them.</w:t>
      </w:r>
    </w:p>
    <w:p>
      <w:pPr>
        <w:keepNext/>
        <w:spacing w:before="160" w:after="40"/>
        <w:outlineLvl w:val="2"/>
      </w:pPr>
      <w:r>
        <w:rPr>
          <w:b/>
          <w:color w:val="29B5E8"/>
          <w:sz w:val="20"/>
        </w:rPr>
        <w:t>Contrast with Finance 360, explicitly</w:t>
      </w:r>
    </w:p>
    <w:p>
      <w:pPr>
        <w:spacing w:after="120"/>
      </w:pPr>
      <w:r>
        <w:rPr>
          <w:b w:val="0"/>
          <w:i w:val="0"/>
          <w:sz w:val="20"/>
        </w:rPr>
        <w:t xml:space="preserve">Finance 360 builds L1 as six views. Each selects from its L0 counterpart and adds column comments. The result adds naming, documentation and access control, and adds </w:t>
      </w:r>
      <w:r>
        <w:rPr>
          <w:b/>
          <w:i w:val="0"/>
          <w:sz w:val="20"/>
        </w:rPr>
        <w:t>no storage, no load step and no refresh lag</w:t>
      </w:r>
      <w:r>
        <w:rPr>
          <w:b w:val="0"/>
          <w:i w:val="0"/>
          <w:sz w:val="20"/>
        </w:rPr>
        <w:t xml:space="preserve"> — a view cannot be stale.</w:t>
      </w:r>
    </w:p>
    <w:p>
      <w:pPr>
        <w:spacing w:after="120"/>
      </w:pPr>
      <w:r>
        <w:rPr>
          <w:b w:val="0"/>
          <w:i w:val="0"/>
          <w:sz w:val="20"/>
        </w:rPr>
        <w:t>Sales 360 builds L1 as 31 tables holding 2.5m rows, which means: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Property</w:t>
            </w:r>
          </w:p>
        </w:tc>
        <w:tc>
          <w:tcPr>
            <w:tcW w:type="dxa" w:w="3528"/>
            <w:shd w:val="clear" w:fill="1B3A57"/>
          </w:tcPr>
          <w:p>
            <w:pPr>
              <w:spacing w:after="20"/>
            </w:pPr>
            <w:r/>
            <w:r>
              <w:rPr>
                <w:b/>
                <w:color w:val="FFFFFF"/>
                <w:sz w:val="17"/>
              </w:rPr>
              <w:t>Finance 360 L1 (views)</w:t>
            </w:r>
          </w:p>
        </w:tc>
        <w:tc>
          <w:tcPr>
            <w:tcW w:type="dxa" w:w="3528"/>
            <w:shd w:val="clear" w:fill="1B3A57"/>
          </w:tcPr>
          <w:p>
            <w:pPr>
              <w:spacing w:after="20"/>
            </w:pPr>
            <w:r/>
            <w:r>
              <w:rPr>
                <w:b/>
                <w:color w:val="FFFFFF"/>
                <w:sz w:val="17"/>
              </w:rPr>
              <w:t>Sales 360 L1 (tables)</w:t>
            </w:r>
          </w:p>
        </w:tc>
      </w:tr>
      <w:tr>
        <w:trPr>
          <w:cantSplit/>
        </w:trPr>
        <w:tc>
          <w:tcPr>
            <w:tcW w:type="dxa" w:w="2880"/>
          </w:tcPr>
          <w:p>
            <w:pPr>
              <w:spacing w:after="20"/>
            </w:pPr>
            <w:r/>
            <w:r>
              <w:rPr>
                <w:b w:val="0"/>
                <w:sz w:val="17"/>
              </w:rPr>
              <w:t>Storage</w:t>
            </w:r>
          </w:p>
        </w:tc>
        <w:tc>
          <w:tcPr>
            <w:tcW w:type="dxa" w:w="3528"/>
          </w:tcPr>
          <w:p>
            <w:pPr>
              <w:spacing w:after="20"/>
            </w:pPr>
            <w:r/>
            <w:r>
              <w:rPr>
                <w:b w:val="0"/>
                <w:sz w:val="17"/>
              </w:rPr>
              <w:t>none</w:t>
            </w:r>
          </w:p>
        </w:tc>
        <w:tc>
          <w:tcPr>
            <w:tcW w:type="dxa" w:w="3528"/>
          </w:tcPr>
          <w:p>
            <w:pPr>
              <w:spacing w:after="20"/>
            </w:pPr>
            <w:r/>
            <w:r>
              <w:rPr>
                <w:b w:val="0"/>
                <w:sz w:val="17"/>
              </w:rPr>
              <w:t>2,551,850 rows</w:t>
            </w:r>
          </w:p>
        </w:tc>
      </w:tr>
      <w:tr>
        <w:trPr>
          <w:cantSplit/>
        </w:trPr>
        <w:tc>
          <w:tcPr>
            <w:tcW w:type="dxa" w:w="2880"/>
            <w:shd w:val="clear" w:fill="EEF4F8"/>
          </w:tcPr>
          <w:p>
            <w:pPr>
              <w:spacing w:after="20"/>
            </w:pPr>
            <w:r/>
            <w:r>
              <w:rPr>
                <w:b w:val="0"/>
                <w:sz w:val="17"/>
              </w:rPr>
              <w:t>Load step to maintain</w:t>
            </w:r>
          </w:p>
        </w:tc>
        <w:tc>
          <w:tcPr>
            <w:tcW w:type="dxa" w:w="3528"/>
            <w:shd w:val="clear" w:fill="EEF4F8"/>
          </w:tcPr>
          <w:p>
            <w:pPr>
              <w:spacing w:after="20"/>
            </w:pPr>
            <w:r/>
            <w:r>
              <w:rPr>
                <w:b w:val="0"/>
                <w:sz w:val="17"/>
              </w:rPr>
              <w:t>none</w:t>
            </w:r>
          </w:p>
        </w:tc>
        <w:tc>
          <w:tcPr>
            <w:tcW w:type="dxa" w:w="3528"/>
            <w:shd w:val="clear" w:fill="EEF4F8"/>
          </w:tcPr>
          <w:p>
            <w:pPr>
              <w:spacing w:after="20"/>
            </w:pPr>
            <w:r/>
            <w:r>
              <w:rPr>
                <w:b w:val="0"/>
                <w:sz w:val="17"/>
              </w:rPr>
              <w:t>yes</w:t>
            </w:r>
          </w:p>
        </w:tc>
      </w:tr>
      <w:tr>
        <w:trPr>
          <w:cantSplit/>
        </w:trPr>
        <w:tc>
          <w:tcPr>
            <w:tcW w:type="dxa" w:w="2880"/>
          </w:tcPr>
          <w:p>
            <w:pPr>
              <w:spacing w:after="20"/>
            </w:pPr>
            <w:r/>
            <w:r>
              <w:rPr>
                <w:b w:val="0"/>
                <w:sz w:val="17"/>
              </w:rPr>
              <w:t>Can be stale</w:t>
            </w:r>
          </w:p>
        </w:tc>
        <w:tc>
          <w:tcPr>
            <w:tcW w:type="dxa" w:w="3528"/>
          </w:tcPr>
          <w:p>
            <w:pPr>
              <w:spacing w:after="20"/>
            </w:pPr>
            <w:r/>
            <w:r>
              <w:rPr>
                <w:b w:val="0"/>
                <w:sz w:val="17"/>
              </w:rPr>
              <w:t>no</w:t>
            </w:r>
          </w:p>
        </w:tc>
        <w:tc>
          <w:tcPr>
            <w:tcW w:type="dxa" w:w="3528"/>
          </w:tcPr>
          <w:p>
            <w:pPr>
              <w:spacing w:after="20"/>
            </w:pPr>
            <w:r/>
            <w:r>
              <w:rPr>
                <w:b w:val="0"/>
                <w:sz w:val="17"/>
              </w:rPr>
              <w:t>yes</w:t>
            </w:r>
          </w:p>
        </w:tc>
      </w:tr>
      <w:tr>
        <w:trPr>
          <w:cantSplit/>
        </w:trPr>
        <w:tc>
          <w:tcPr>
            <w:tcW w:type="dxa" w:w="2880"/>
            <w:shd w:val="clear" w:fill="EEF4F8"/>
          </w:tcPr>
          <w:p>
            <w:pPr>
              <w:spacing w:after="20"/>
            </w:pPr>
            <w:r/>
            <w:r>
              <w:rPr>
                <w:b w:val="0"/>
                <w:sz w:val="17"/>
              </w:rPr>
              <w:t>Zero-copy claim survives to L1</w:t>
            </w:r>
          </w:p>
        </w:tc>
        <w:tc>
          <w:tcPr>
            <w:tcW w:type="dxa" w:w="3528"/>
            <w:shd w:val="clear" w:fill="EEF4F8"/>
          </w:tcPr>
          <w:p>
            <w:pPr>
              <w:spacing w:after="20"/>
            </w:pPr>
            <w:r/>
            <w:r>
              <w:rPr>
                <w:b w:val="0"/>
                <w:sz w:val="17"/>
              </w:rPr>
              <w:t>yes</w:t>
            </w:r>
          </w:p>
        </w:tc>
        <w:tc>
          <w:tcPr>
            <w:tcW w:type="dxa" w:w="3528"/>
            <w:shd w:val="clear" w:fill="EEF4F8"/>
          </w:tcPr>
          <w:p>
            <w:pPr>
              <w:spacing w:after="20"/>
            </w:pPr>
            <w:r/>
            <w:r>
              <w:rPr>
                <w:b w:val="0"/>
                <w:sz w:val="17"/>
              </w:rPr>
              <w:t>no</w:t>
            </w:r>
          </w:p>
        </w:tc>
      </w:tr>
      <w:tr>
        <w:trPr>
          <w:cantSplit/>
        </w:trPr>
        <w:tc>
          <w:tcPr>
            <w:tcW w:type="dxa" w:w="2880"/>
          </w:tcPr>
          <w:p>
            <w:pPr>
              <w:spacing w:after="20"/>
            </w:pPr>
            <w:r/>
            <w:r>
              <w:rPr>
                <w:b w:val="0"/>
                <w:sz w:val="17"/>
              </w:rPr>
              <w:t>Failure mode</w:t>
            </w:r>
          </w:p>
        </w:tc>
        <w:tc>
          <w:tcPr>
            <w:tcW w:type="dxa" w:w="3528"/>
          </w:tcPr>
          <w:p>
            <w:pPr>
              <w:spacing w:after="20"/>
            </w:pPr>
            <w:r/>
            <w:r>
              <w:rPr>
                <w:b w:val="0"/>
                <w:sz w:val="17"/>
              </w:rPr>
              <w:t>compile error or grant error — loud</w:t>
            </w:r>
          </w:p>
        </w:tc>
        <w:tc>
          <w:tcPr>
            <w:tcW w:type="dxa" w:w="3528"/>
          </w:tcPr>
          <w:p>
            <w:pPr>
              <w:spacing w:after="20"/>
            </w:pPr>
            <w:r/>
            <w:r>
              <w:rPr>
                <w:b w:val="0"/>
                <w:sz w:val="17"/>
              </w:rPr>
              <w:t>stale data — silent</w:t>
            </w:r>
          </w:p>
        </w:tc>
      </w:tr>
    </w:tbl>
    <w:p>
      <w:pPr>
        <w:spacing w:after="80"/>
      </w:pPr>
    </w:p>
    <w:p>
      <w:pPr>
        <w:spacing w:after="120"/>
      </w:pPr>
      <w:r>
        <w:rPr>
          <w:b w:val="0"/>
          <w:i w:val="0"/>
          <w:sz w:val="20"/>
        </w:rPr>
        <w:t>The last row is the reason this is a finding rather than a preference. A broken view fails loudly. A stale table returns yesterday's numbers with no error, and nothing in the stack flags it.</w:t>
      </w:r>
    </w:p>
    <w:p>
      <w:pPr>
        <w:keepNext/>
        <w:spacing w:before="160" w:after="40"/>
        <w:outlineLvl w:val="2"/>
      </w:pPr>
      <w:r>
        <w:rPr>
          <w:b/>
          <w:color w:val="29B5E8"/>
          <w:sz w:val="20"/>
        </w:rPr>
        <w:t>Recommendation</w:t>
      </w:r>
    </w:p>
    <w:p>
      <w:pPr>
        <w:spacing w:after="120"/>
      </w:pPr>
      <w:r>
        <w:rPr>
          <w:b/>
          <w:i w:val="0"/>
          <w:sz w:val="20"/>
        </w:rPr>
        <w:t>Convert the 31 L1 tables to passthrough views.</w:t>
      </w:r>
      <w:r>
        <w:rPr>
          <w:b w:val="0"/>
          <w:i w:val="0"/>
          <w:sz w:val="20"/>
        </w:rPr>
        <w:t xml:space="preserve"> Nothing downstream needs to change: a dynamic table selects from a view exactly as it selects from a table, and L2's 11 dynamic tables already hold the materialisation that the app actually reads — all 53 of its </w:t>
      </w:r>
      <w:r>
        <w:rPr>
          <w:rFonts w:ascii="Consolas" w:hAnsi="Consolas"/>
          <w:b w:val="0"/>
          <w:i w:val="0"/>
          <w:color w:val="1B5E8C"/>
          <w:sz w:val="19"/>
        </w:rPr>
        <w:t>FROM</w:t>
      </w:r>
      <w:r>
        <w:rPr>
          <w:b w:val="0"/>
          <w:i w:val="0"/>
          <w:sz w:val="20"/>
        </w:rPr>
        <w:t xml:space="preserve"> clauses are on L2, none on L1.</w:t>
      </w:r>
    </w:p>
    <w:p>
      <w:pPr>
        <w:spacing w:after="120"/>
      </w:pPr>
      <w:r>
        <w:rPr>
          <w:b w:val="0"/>
          <w:i w:val="0"/>
          <w:sz w:val="20"/>
        </w:rPr>
        <w:t>The change removes 2,551,850 rows of storage, removes the L1 load step from the refresh runbook, eliminates the staleness failure mode, and makes the zero-copy claim true up to the point where materialisation is genuinely earned. There is no identified consumer of L1 that would be affected.</w:t>
      </w:r>
    </w:p>
    <w:p>
      <w:pPr>
        <w:spacing w:before="80" w:after="160"/>
        <w:jc w:val="center"/>
      </w:pPr>
      <w:r>
        <w:rPr>
          <w:color w:val="C8D4DE"/>
          <w:sz w:val="12"/>
        </w:rPr>
        <w:t>──────────────────────────────────────────────────────────</w:t>
      </w:r>
    </w:p>
    <w:p>
      <w:pPr>
        <w:keepNext/>
        <w:spacing w:before="240" w:after="60"/>
        <w:outlineLvl w:val="1"/>
      </w:pPr>
      <w:r>
        <w:rPr>
          <w:b/>
          <w:color w:val="1B3A57"/>
          <w:sz w:val="23"/>
        </w:rPr>
        <w:t>Zero verified queries on the stage model</w:t>
      </w:r>
    </w:p>
    <w:p>
      <w:pPr>
        <w:spacing w:after="120"/>
      </w:pPr>
      <w:r>
        <w:rPr>
          <w:b/>
          <w:i w:val="0"/>
          <w:sz w:val="20"/>
        </w:rPr>
        <w:t>Severity: medium — open gap, and the cheapest high-value work remaining.</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Stage file</w:t>
            </w:r>
          </w:p>
        </w:tc>
        <w:tc>
          <w:tcPr>
            <w:tcW w:type="dxa" w:w="7056"/>
          </w:tcPr>
          <w:p>
            <w:pPr>
              <w:spacing w:after="20"/>
            </w:pPr>
            <w:r/>
            <w:r>
              <w:rPr>
                <w:rFonts w:ascii="Consolas" w:hAnsi="Consolas"/>
                <w:b w:val="0"/>
                <w:color w:val="1B5E8C"/>
                <w:sz w:val="16"/>
              </w:rPr>
              <w:t>@SAP_SALES_360.SEMANTIC.SEMANTIC_STAGE/sap_sales_360_semantic.yaml</w:t>
            </w:r>
          </w:p>
        </w:tc>
      </w:tr>
      <w:tr>
        <w:trPr>
          <w:cantSplit/>
        </w:trPr>
        <w:tc>
          <w:tcPr>
            <w:tcW w:type="dxa" w:w="2880"/>
            <w:shd w:val="clear" w:fill="EEF4F8"/>
          </w:tcPr>
          <w:p>
            <w:pPr>
              <w:spacing w:after="20"/>
            </w:pPr>
            <w:r/>
            <w:r>
              <w:rPr>
                <w:b w:val="0"/>
                <w:sz w:val="17"/>
              </w:rPr>
              <w:t>Model name</w:t>
            </w:r>
          </w:p>
        </w:tc>
        <w:tc>
          <w:tcPr>
            <w:tcW w:type="dxa" w:w="7056"/>
            <w:shd w:val="clear" w:fill="EEF4F8"/>
          </w:tcPr>
          <w:p>
            <w:pPr>
              <w:spacing w:after="20"/>
            </w:pPr>
            <w:r/>
            <w:r>
              <w:rPr>
                <w:rFonts w:ascii="Consolas" w:hAnsi="Consolas"/>
                <w:b w:val="0"/>
                <w:color w:val="1B5E8C"/>
                <w:sz w:val="16"/>
              </w:rPr>
              <w:t>SAP_SALES_360_ANALYTICS</w:t>
            </w:r>
          </w:p>
        </w:tc>
      </w:tr>
      <w:tr>
        <w:trPr>
          <w:cantSplit/>
        </w:trPr>
        <w:tc>
          <w:tcPr>
            <w:tcW w:type="dxa" w:w="2880"/>
          </w:tcPr>
          <w:p>
            <w:pPr>
              <w:spacing w:after="20"/>
            </w:pPr>
            <w:r/>
            <w:r>
              <w:rPr>
                <w:b w:val="0"/>
                <w:sz w:val="17"/>
              </w:rPr>
              <w:t>Base tables</w:t>
            </w:r>
          </w:p>
        </w:tc>
        <w:tc>
          <w:tcPr>
            <w:tcW w:type="dxa" w:w="7056"/>
          </w:tcPr>
          <w:p>
            <w:pPr>
              <w:spacing w:after="20"/>
            </w:pPr>
            <w:r/>
            <w:r>
              <w:rPr>
                <w:b w:val="0"/>
                <w:sz w:val="17"/>
              </w:rPr>
              <w:t>10</w:t>
            </w:r>
          </w:p>
        </w:tc>
      </w:tr>
      <w:tr>
        <w:trPr>
          <w:cantSplit/>
        </w:trPr>
        <w:tc>
          <w:tcPr>
            <w:tcW w:type="dxa" w:w="2880"/>
            <w:shd w:val="clear" w:fill="EEF4F8"/>
          </w:tcPr>
          <w:p>
            <w:pPr>
              <w:spacing w:after="20"/>
            </w:pPr>
            <w:r/>
            <w:r>
              <w:rPr>
                <w:b w:val="0"/>
                <w:sz w:val="17"/>
              </w:rPr>
              <w:t>Dimensions</w:t>
            </w:r>
          </w:p>
        </w:tc>
        <w:tc>
          <w:tcPr>
            <w:tcW w:type="dxa" w:w="7056"/>
            <w:shd w:val="clear" w:fill="EEF4F8"/>
          </w:tcPr>
          <w:p>
            <w:pPr>
              <w:spacing w:after="20"/>
            </w:pPr>
            <w:r/>
            <w:r>
              <w:rPr>
                <w:b w:val="0"/>
                <w:sz w:val="17"/>
              </w:rPr>
              <w:t>64</w:t>
            </w:r>
          </w:p>
        </w:tc>
      </w:tr>
      <w:tr>
        <w:trPr>
          <w:cantSplit/>
        </w:trPr>
        <w:tc>
          <w:tcPr>
            <w:tcW w:type="dxa" w:w="2880"/>
          </w:tcPr>
          <w:p>
            <w:pPr>
              <w:spacing w:after="20"/>
            </w:pPr>
            <w:r/>
            <w:r>
              <w:rPr>
                <w:b w:val="0"/>
                <w:sz w:val="17"/>
              </w:rPr>
              <w:t>Facts</w:t>
            </w:r>
          </w:p>
        </w:tc>
        <w:tc>
          <w:tcPr>
            <w:tcW w:type="dxa" w:w="7056"/>
          </w:tcPr>
          <w:p>
            <w:pPr>
              <w:spacing w:after="20"/>
            </w:pPr>
            <w:r/>
            <w:r>
              <w:rPr>
                <w:b w:val="0"/>
                <w:sz w:val="17"/>
              </w:rPr>
              <w:t>9</w:t>
            </w:r>
          </w:p>
        </w:tc>
      </w:tr>
      <w:tr>
        <w:trPr>
          <w:cantSplit/>
        </w:trPr>
        <w:tc>
          <w:tcPr>
            <w:tcW w:type="dxa" w:w="2880"/>
            <w:shd w:val="clear" w:fill="EEF4F8"/>
          </w:tcPr>
          <w:p>
            <w:pPr>
              <w:spacing w:after="20"/>
            </w:pPr>
            <w:r/>
            <w:r>
              <w:rPr>
                <w:b w:val="0"/>
                <w:sz w:val="17"/>
              </w:rPr>
              <w:t>Measures</w:t>
            </w:r>
          </w:p>
        </w:tc>
        <w:tc>
          <w:tcPr>
            <w:tcW w:type="dxa" w:w="7056"/>
            <w:shd w:val="clear" w:fill="EEF4F8"/>
          </w:tcPr>
          <w:p>
            <w:pPr>
              <w:spacing w:after="20"/>
            </w:pPr>
            <w:r/>
            <w:r>
              <w:rPr>
                <w:b w:val="0"/>
                <w:sz w:val="17"/>
              </w:rPr>
              <w:t>0</w:t>
            </w:r>
          </w:p>
        </w:tc>
      </w:tr>
      <w:tr>
        <w:trPr>
          <w:cantSplit/>
        </w:trPr>
        <w:tc>
          <w:tcPr>
            <w:tcW w:type="dxa" w:w="2880"/>
          </w:tcPr>
          <w:p>
            <w:pPr>
              <w:spacing w:after="20"/>
            </w:pPr>
            <w:r/>
            <w:r>
              <w:rPr>
                <w:b/>
                <w:sz w:val="17"/>
              </w:rPr>
              <w:t>Verified queries</w:t>
            </w:r>
          </w:p>
        </w:tc>
        <w:tc>
          <w:tcPr>
            <w:tcW w:type="dxa" w:w="7056"/>
          </w:tcPr>
          <w:p>
            <w:pPr>
              <w:spacing w:after="20"/>
            </w:pPr>
            <w:r/>
            <w:r>
              <w:rPr>
                <w:b/>
                <w:sz w:val="17"/>
              </w:rPr>
              <w:t>0</w:t>
            </w:r>
          </w:p>
        </w:tc>
      </w:tr>
    </w:tbl>
    <w:p>
      <w:pPr>
        <w:spacing w:after="80"/>
      </w:pPr>
    </w:p>
    <w:p>
      <w:pPr>
        <w:spacing w:after="120"/>
      </w:pPr>
      <w:r>
        <w:rPr>
          <w:b w:val="0"/>
          <w:i w:val="0"/>
          <w:sz w:val="20"/>
        </w:rPr>
        <w:t>A verified query is a question paired with SQL a human has confirmed is correct. It is how a Cortex Analyst model is taught the conventions of its data, and it is the mechanism by which an answer becomes reproducible rather than re-derived.</w:t>
      </w:r>
    </w:p>
    <w:p>
      <w:pPr>
        <w:spacing w:after="120"/>
      </w:pPr>
      <w:r>
        <w:rPr>
          <w:b w:val="0"/>
          <w:i w:val="0"/>
          <w:sz w:val="20"/>
        </w:rPr>
        <w:t>With zero of them, every question is answered from the schema alone, and this dataset has at least three conventions the schema does not express — the win-rate basis ambiguity, the elapsed date horizon, and the grain difference between opportunities and order lines. Each is a way for a fluent, well-formed, confidently-presented wrong answer to be produced.</w:t>
      </w:r>
    </w:p>
    <w:p>
      <w:pPr>
        <w:spacing w:after="120"/>
      </w:pPr>
      <w:r>
        <w:rPr>
          <w:b/>
          <w:i w:val="0"/>
          <w:sz w:val="20"/>
        </w:rPr>
        <w:t>0 measures compounds it.</w:t>
      </w:r>
      <w:r>
        <w:rPr>
          <w:b w:val="0"/>
          <w:i w:val="0"/>
          <w:sz w:val="20"/>
        </w:rPr>
        <w:t xml:space="preserve"> A model with no declared measures offers no aggregations of its own, so every </w:t>
      </w:r>
      <w:r>
        <w:rPr>
          <w:rFonts w:ascii="Consolas" w:hAnsi="Consolas"/>
          <w:b w:val="0"/>
          <w:i w:val="0"/>
          <w:color w:val="1B5E8C"/>
          <w:sz w:val="19"/>
        </w:rPr>
        <w:t>SUM</w:t>
      </w:r>
      <w:r>
        <w:rPr>
          <w:b w:val="0"/>
          <w:i w:val="0"/>
          <w:sz w:val="20"/>
        </w:rPr>
        <w:t xml:space="preserve"> and </w:t>
      </w:r>
      <w:r>
        <w:rPr>
          <w:rFonts w:ascii="Consolas" w:hAnsi="Consolas"/>
          <w:b w:val="0"/>
          <w:i w:val="0"/>
          <w:color w:val="1B5E8C"/>
          <w:sz w:val="19"/>
        </w:rPr>
        <w:t>AVG</w:t>
      </w:r>
      <w:r>
        <w:rPr>
          <w:b w:val="0"/>
          <w:i w:val="0"/>
          <w:sz w:val="20"/>
        </w:rPr>
        <w:t xml:space="preserve"> in an answer is invented by the generated SQL. There is nothing to pin </w:t>
      </w:r>
      <w:r>
        <w:rPr>
          <w:rFonts w:ascii="Consolas" w:hAnsi="Consolas"/>
          <w:b w:val="0"/>
          <w:i w:val="0"/>
          <w:color w:val="1B5E8C"/>
          <w:sz w:val="19"/>
        </w:rPr>
        <w:t>won value</w:t>
      </w:r>
      <w:r>
        <w:rPr>
          <w:b w:val="0"/>
          <w:i w:val="0"/>
          <w:sz w:val="20"/>
        </w:rPr>
        <w:t xml:space="preserve"> or </w:t>
      </w:r>
      <w:r>
        <w:rPr>
          <w:rFonts w:ascii="Consolas" w:hAnsi="Consolas"/>
          <w:b w:val="0"/>
          <w:i w:val="0"/>
          <w:color w:val="1B5E8C"/>
          <w:sz w:val="19"/>
        </w:rPr>
        <w:t>attainment</w:t>
      </w:r>
      <w:r>
        <w:rPr>
          <w:b w:val="0"/>
          <w:i w:val="0"/>
          <w:sz w:val="20"/>
        </w:rPr>
        <w:t xml:space="preserve"> to a definition.</w:t>
      </w:r>
    </w:p>
    <w:p>
      <w:pPr>
        <w:spacing w:after="120"/>
      </w:pPr>
      <w:r>
        <w:rPr>
          <w:b w:val="0"/>
          <w:i w:val="0"/>
          <w:sz w:val="20"/>
        </w:rPr>
        <w:t>The specific queries to add, in priority order, are in the analyst and agent layer (07-analyst-and-agent.md#the-queries-to-add-first).</w:t>
      </w:r>
    </w:p>
    <w:p>
      <w:pPr>
        <w:spacing w:before="80" w:after="160"/>
        <w:jc w:val="center"/>
      </w:pPr>
      <w:r>
        <w:rPr>
          <w:color w:val="C8D4DE"/>
          <w:sz w:val="12"/>
        </w:rPr>
        <w:t>──────────────────────────────────────────────────────────</w:t>
      </w:r>
    </w:p>
    <w:p>
      <w:pPr>
        <w:keepNext/>
        <w:spacing w:before="240" w:after="60"/>
        <w:outlineLvl w:val="1"/>
      </w:pPr>
      <w:r>
        <w:rPr>
          <w:b/>
          <w:color w:val="1B3A57"/>
          <w:sz w:val="23"/>
        </w:rPr>
        <w:t>A 64-table semantic view beside a 10-table stage model</w:t>
      </w:r>
    </w:p>
    <w:p>
      <w:pPr>
        <w:spacing w:after="120"/>
      </w:pPr>
      <w:r>
        <w:rPr>
          <w:b/>
          <w:i w:val="0"/>
          <w:sz w:val="20"/>
        </w:rPr>
        <w:t>Severity: medium — operational, and the failure mode is wasted effort.</w:t>
      </w:r>
    </w:p>
    <w:p>
      <w:pPr>
        <w:spacing w:after="120"/>
      </w:pPr>
      <w:r>
        <w:rPr>
          <w:b w:val="0"/>
          <w:i w:val="0"/>
          <w:sz w:val="20"/>
        </w:rPr>
        <w:t>Two semantic artefacts over the same data layer, at very different scales: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r>
          </w:p>
        </w:tc>
        <w:tc>
          <w:tcPr>
            <w:tcW w:type="dxa" w:w="3528"/>
            <w:shd w:val="clear" w:fill="1B3A57"/>
          </w:tcPr>
          <w:p>
            <w:pPr>
              <w:spacing w:after="20"/>
            </w:pPr>
            <w:r/>
            <w:r>
              <w:rPr>
                <w:b/>
                <w:color w:val="FFFFFF"/>
                <w:sz w:val="17"/>
              </w:rPr>
              <w:t>Semantic view</w:t>
            </w:r>
          </w:p>
        </w:tc>
        <w:tc>
          <w:tcPr>
            <w:tcW w:type="dxa" w:w="3528"/>
            <w:shd w:val="clear" w:fill="1B3A57"/>
          </w:tcPr>
          <w:p>
            <w:pPr>
              <w:spacing w:after="20"/>
            </w:pPr>
            <w:r/>
            <w:r>
              <w:rPr>
                <w:b/>
                <w:color w:val="FFFFFF"/>
                <w:sz w:val="17"/>
              </w:rPr>
              <w:t>Analyst stage model</w:t>
            </w:r>
          </w:p>
        </w:tc>
      </w:tr>
      <w:tr>
        <w:trPr>
          <w:cantSplit/>
        </w:trPr>
        <w:tc>
          <w:tcPr>
            <w:tcW w:type="dxa" w:w="2880"/>
          </w:tcPr>
          <w:p>
            <w:pPr>
              <w:spacing w:after="20"/>
            </w:pPr>
            <w:r/>
            <w:r>
              <w:rPr>
                <w:b w:val="0"/>
                <w:sz w:val="17"/>
              </w:rPr>
              <w:t>Name</w:t>
            </w:r>
          </w:p>
        </w:tc>
        <w:tc>
          <w:tcPr>
            <w:tcW w:type="dxa" w:w="3528"/>
          </w:tcPr>
          <w:p>
            <w:pPr>
              <w:spacing w:after="20"/>
            </w:pPr>
            <w:r/>
            <w:r>
              <w:rPr>
                <w:rFonts w:ascii="Consolas" w:hAnsi="Consolas"/>
                <w:b w:val="0"/>
                <w:color w:val="1B5E8C"/>
                <w:sz w:val="16"/>
              </w:rPr>
              <w:t>SEMANTIC.SAP_SALES_360_ANALYTICS</w:t>
            </w:r>
          </w:p>
        </w:tc>
        <w:tc>
          <w:tcPr>
            <w:tcW w:type="dxa" w:w="3528"/>
          </w:tcPr>
          <w:p>
            <w:pPr>
              <w:spacing w:after="20"/>
            </w:pPr>
            <w:r/>
            <w:r>
              <w:rPr>
                <w:rFonts w:ascii="Consolas" w:hAnsi="Consolas"/>
                <w:b w:val="0"/>
                <w:color w:val="1B5E8C"/>
                <w:sz w:val="16"/>
              </w:rPr>
              <w:t>SAP_SALES_360_ANALYTICS</w:t>
            </w:r>
          </w:p>
        </w:tc>
      </w:tr>
      <w:tr>
        <w:trPr>
          <w:cantSplit/>
        </w:trPr>
        <w:tc>
          <w:tcPr>
            <w:tcW w:type="dxa" w:w="2880"/>
            <w:shd w:val="clear" w:fill="EEF4F8"/>
          </w:tcPr>
          <w:p>
            <w:pPr>
              <w:spacing w:after="20"/>
            </w:pPr>
            <w:r/>
            <w:r>
              <w:rPr>
                <w:b w:val="0"/>
                <w:sz w:val="17"/>
              </w:rPr>
              <w:t>Form</w:t>
            </w:r>
          </w:p>
        </w:tc>
        <w:tc>
          <w:tcPr>
            <w:tcW w:type="dxa" w:w="3528"/>
            <w:shd w:val="clear" w:fill="EEF4F8"/>
          </w:tcPr>
          <w:p>
            <w:pPr>
              <w:spacing w:after="20"/>
            </w:pPr>
            <w:r/>
            <w:r>
              <w:rPr>
                <w:b w:val="0"/>
                <w:sz w:val="17"/>
              </w:rPr>
              <w:t>Snowflake object</w:t>
            </w:r>
          </w:p>
        </w:tc>
        <w:tc>
          <w:tcPr>
            <w:tcW w:type="dxa" w:w="3528"/>
            <w:shd w:val="clear" w:fill="EEF4F8"/>
          </w:tcPr>
          <w:p>
            <w:pPr>
              <w:spacing w:after="20"/>
            </w:pPr>
            <w:r/>
            <w:r>
              <w:rPr>
                <w:b w:val="0"/>
                <w:sz w:val="17"/>
              </w:rPr>
              <w:t>YAML on a stage</w:t>
            </w:r>
          </w:p>
        </w:tc>
      </w:tr>
      <w:tr>
        <w:trPr>
          <w:cantSplit/>
        </w:trPr>
        <w:tc>
          <w:tcPr>
            <w:tcW w:type="dxa" w:w="2880"/>
          </w:tcPr>
          <w:p>
            <w:pPr>
              <w:spacing w:after="20"/>
            </w:pPr>
            <w:r/>
            <w:r>
              <w:rPr>
                <w:b w:val="0"/>
                <w:sz w:val="17"/>
              </w:rPr>
              <w:t>Logical tables</w:t>
            </w:r>
          </w:p>
        </w:tc>
        <w:tc>
          <w:tcPr>
            <w:tcW w:type="dxa" w:w="3528"/>
          </w:tcPr>
          <w:p>
            <w:pPr>
              <w:spacing w:after="20"/>
            </w:pPr>
            <w:r/>
            <w:r>
              <w:rPr>
                <w:b/>
                <w:sz w:val="17"/>
              </w:rPr>
              <w:t>64</w:t>
            </w:r>
          </w:p>
        </w:tc>
        <w:tc>
          <w:tcPr>
            <w:tcW w:type="dxa" w:w="3528"/>
          </w:tcPr>
          <w:p>
            <w:pPr>
              <w:spacing w:after="20"/>
            </w:pPr>
            <w:r/>
            <w:r>
              <w:rPr>
                <w:b/>
                <w:sz w:val="17"/>
              </w:rPr>
              <w:t>10</w:t>
            </w:r>
          </w:p>
        </w:tc>
      </w:tr>
      <w:tr>
        <w:trPr>
          <w:cantSplit/>
        </w:trPr>
        <w:tc>
          <w:tcPr>
            <w:tcW w:type="dxa" w:w="2880"/>
            <w:shd w:val="clear" w:fill="EEF4F8"/>
          </w:tcPr>
          <w:p>
            <w:pPr>
              <w:spacing w:after="20"/>
            </w:pPr>
            <w:r/>
            <w:r>
              <w:rPr>
                <w:b w:val="0"/>
                <w:sz w:val="17"/>
              </w:rPr>
              <w:t>Dimensions</w:t>
            </w:r>
          </w:p>
        </w:tc>
        <w:tc>
          <w:tcPr>
            <w:tcW w:type="dxa" w:w="3528"/>
            <w:shd w:val="clear" w:fill="EEF4F8"/>
          </w:tcPr>
          <w:p>
            <w:pPr>
              <w:spacing w:after="20"/>
            </w:pPr>
            <w:r/>
            <w:r>
              <w:rPr>
                <w:b/>
                <w:sz w:val="17"/>
              </w:rPr>
              <w:t>369</w:t>
            </w:r>
          </w:p>
        </w:tc>
        <w:tc>
          <w:tcPr>
            <w:tcW w:type="dxa" w:w="3528"/>
            <w:shd w:val="clear" w:fill="EEF4F8"/>
          </w:tcPr>
          <w:p>
            <w:pPr>
              <w:spacing w:after="20"/>
            </w:pPr>
            <w:r/>
            <w:r>
              <w:rPr>
                <w:b/>
                <w:sz w:val="17"/>
              </w:rPr>
              <w:t>64</w:t>
            </w:r>
          </w:p>
        </w:tc>
      </w:tr>
      <w:tr>
        <w:trPr>
          <w:cantSplit/>
        </w:trPr>
        <w:tc>
          <w:tcPr>
            <w:tcW w:type="dxa" w:w="2880"/>
          </w:tcPr>
          <w:p>
            <w:pPr>
              <w:spacing w:after="20"/>
            </w:pPr>
            <w:r/>
            <w:r>
              <w:rPr>
                <w:b w:val="0"/>
                <w:sz w:val="17"/>
              </w:rPr>
              <w:t>Facts</w:t>
            </w:r>
          </w:p>
        </w:tc>
        <w:tc>
          <w:tcPr>
            <w:tcW w:type="dxa" w:w="3528"/>
          </w:tcPr>
          <w:p>
            <w:pPr>
              <w:spacing w:after="20"/>
            </w:pPr>
            <w:r/>
            <w:r>
              <w:rPr>
                <w:b w:val="0"/>
                <w:sz w:val="17"/>
              </w:rPr>
              <w:t>69</w:t>
            </w:r>
          </w:p>
        </w:tc>
        <w:tc>
          <w:tcPr>
            <w:tcW w:type="dxa" w:w="3528"/>
          </w:tcPr>
          <w:p>
            <w:pPr>
              <w:spacing w:after="20"/>
            </w:pPr>
            <w:r/>
            <w:r>
              <w:rPr>
                <w:b w:val="0"/>
                <w:sz w:val="17"/>
              </w:rPr>
              <w:t>9</w:t>
            </w:r>
          </w:p>
        </w:tc>
      </w:tr>
      <w:tr>
        <w:trPr>
          <w:cantSplit/>
        </w:trPr>
        <w:tc>
          <w:tcPr>
            <w:tcW w:type="dxa" w:w="2880"/>
            <w:shd w:val="clear" w:fill="EEF4F8"/>
          </w:tcPr>
          <w:p>
            <w:pPr>
              <w:spacing w:after="20"/>
            </w:pPr>
            <w:r/>
            <w:r>
              <w:rPr>
                <w:b w:val="0"/>
                <w:sz w:val="17"/>
              </w:rPr>
              <w:t>Metrics / measures</w:t>
            </w:r>
          </w:p>
        </w:tc>
        <w:tc>
          <w:tcPr>
            <w:tcW w:type="dxa" w:w="3528"/>
            <w:shd w:val="clear" w:fill="EEF4F8"/>
          </w:tcPr>
          <w:p>
            <w:pPr>
              <w:spacing w:after="20"/>
            </w:pPr>
            <w:r/>
            <w:r>
              <w:rPr>
                <w:b w:val="0"/>
                <w:sz w:val="17"/>
              </w:rPr>
              <w:t>138 metrics</w:t>
            </w:r>
          </w:p>
        </w:tc>
        <w:tc>
          <w:tcPr>
            <w:tcW w:type="dxa" w:w="3528"/>
            <w:shd w:val="clear" w:fill="EEF4F8"/>
          </w:tcPr>
          <w:p>
            <w:pPr>
              <w:spacing w:after="20"/>
            </w:pPr>
            <w:r/>
            <w:r>
              <w:rPr>
                <w:b/>
                <w:sz w:val="17"/>
              </w:rPr>
              <w:t>0 measures</w:t>
            </w:r>
          </w:p>
        </w:tc>
      </w:tr>
      <w:tr>
        <w:trPr>
          <w:cantSplit/>
        </w:trPr>
        <w:tc>
          <w:tcPr>
            <w:tcW w:type="dxa" w:w="2880"/>
          </w:tcPr>
          <w:p>
            <w:pPr>
              <w:spacing w:after="20"/>
            </w:pPr>
            <w:r/>
            <w:r>
              <w:rPr>
                <w:b w:val="0"/>
                <w:sz w:val="17"/>
              </w:rPr>
              <w:t>Relationships</w:t>
            </w:r>
          </w:p>
        </w:tc>
        <w:tc>
          <w:tcPr>
            <w:tcW w:type="dxa" w:w="3528"/>
          </w:tcPr>
          <w:p>
            <w:pPr>
              <w:spacing w:after="20"/>
            </w:pPr>
            <w:r/>
            <w:r>
              <w:rPr>
                <w:b w:val="0"/>
                <w:sz w:val="17"/>
              </w:rPr>
              <w:t>44</w:t>
            </w:r>
          </w:p>
        </w:tc>
        <w:tc>
          <w:tcPr>
            <w:tcW w:type="dxa" w:w="3528"/>
          </w:tcPr>
          <w:p>
            <w:pPr>
              <w:spacing w:after="20"/>
            </w:pPr>
            <w:r/>
            <w:r>
              <w:rPr>
                <w:b w:val="0"/>
                <w:sz w:val="17"/>
              </w:rPr>
              <w:t>—</w:t>
            </w:r>
          </w:p>
        </w:tc>
      </w:tr>
      <w:tr>
        <w:trPr>
          <w:cantSplit/>
        </w:trPr>
        <w:tc>
          <w:tcPr>
            <w:tcW w:type="dxa" w:w="2880"/>
            <w:shd w:val="clear" w:fill="EEF4F8"/>
          </w:tcPr>
          <w:p>
            <w:pPr>
              <w:spacing w:after="20"/>
            </w:pPr>
            <w:r/>
            <w:r>
              <w:rPr>
                <w:b w:val="0"/>
                <w:sz w:val="17"/>
              </w:rPr>
              <w:t>Verified queries</w:t>
            </w:r>
          </w:p>
        </w:tc>
        <w:tc>
          <w:tcPr>
            <w:tcW w:type="dxa" w:w="3528"/>
            <w:shd w:val="clear" w:fill="EEF4F8"/>
          </w:tcPr>
          <w:p>
            <w:pPr>
              <w:spacing w:after="20"/>
            </w:pPr>
            <w:r/>
            <w:r>
              <w:rPr>
                <w:b w:val="0"/>
                <w:sz w:val="17"/>
              </w:rPr>
              <w:t>—</w:t>
            </w:r>
          </w:p>
        </w:tc>
        <w:tc>
          <w:tcPr>
            <w:tcW w:type="dxa" w:w="3528"/>
            <w:shd w:val="clear" w:fill="EEF4F8"/>
          </w:tcPr>
          <w:p>
            <w:pPr>
              <w:spacing w:after="20"/>
            </w:pPr>
            <w:r/>
            <w:r>
              <w:rPr>
                <w:b w:val="0"/>
                <w:sz w:val="17"/>
              </w:rPr>
              <w:t>0</w:t>
            </w:r>
          </w:p>
        </w:tc>
      </w:tr>
    </w:tbl>
    <w:p>
      <w:pPr>
        <w:spacing w:after="80"/>
      </w:pPr>
    </w:p>
    <w:p>
      <w:pPr>
        <w:spacing w:after="120"/>
      </w:pPr>
      <w:r>
        <w:rPr>
          <w:b w:val="0"/>
          <w:i w:val="0"/>
          <w:sz w:val="20"/>
        </w:rPr>
        <w:t>The two carry the same model name and are not the same artefact. That alone has cost time.</w:t>
      </w:r>
    </w:p>
    <w:p>
      <w:pPr>
        <w:spacing w:after="120"/>
      </w:pPr>
      <w:r>
        <w:rPr>
          <w:b/>
          <w:i w:val="0"/>
          <w:sz w:val="20"/>
        </w:rPr>
        <w:t>The asymmetry is a 6.4× difference in table coverage and a 5.8× difference in dimensions.</w:t>
      </w:r>
      <w:r>
        <w:rPr>
          <w:b w:val="0"/>
          <w:i w:val="0"/>
          <w:sz w:val="20"/>
        </w:rPr>
        <w:t xml:space="preserve"> The semantic view reaches across 64 logical tables — more than the 14 objects in L2, so it is pulling in L1 and the product master facets. The stage model covers 10: </w:t>
      </w:r>
      <w:r>
        <w:rPr>
          <w:rFonts w:ascii="Consolas" w:hAnsi="Consolas"/>
          <w:b w:val="0"/>
          <w:i w:val="0"/>
          <w:color w:val="1B5E8C"/>
          <w:sz w:val="19"/>
        </w:rPr>
        <w:t>SALESORDER</w:t>
      </w:r>
      <w:r>
        <w:rPr>
          <w:b w:val="0"/>
          <w:i w:val="0"/>
          <w:sz w:val="20"/>
        </w:rPr>
        <w:t xml:space="preserve">, </w:t>
      </w:r>
      <w:r>
        <w:rPr>
          <w:rFonts w:ascii="Consolas" w:hAnsi="Consolas"/>
          <w:b w:val="0"/>
          <w:i w:val="0"/>
          <w:color w:val="1B5E8C"/>
          <w:sz w:val="19"/>
        </w:rPr>
        <w:t>SALESORDERITEM</w:t>
      </w:r>
      <w:r>
        <w:rPr>
          <w:b w:val="0"/>
          <w:i w:val="0"/>
          <w:sz w:val="20"/>
        </w:rPr>
        <w:t xml:space="preserve">, </w:t>
      </w:r>
      <w:r>
        <w:rPr>
          <w:rFonts w:ascii="Consolas" w:hAnsi="Consolas"/>
          <w:b w:val="0"/>
          <w:i w:val="0"/>
          <w:color w:val="1B5E8C"/>
          <w:sz w:val="19"/>
        </w:rPr>
        <w:t>CUSTOMER</w:t>
      </w:r>
      <w:r>
        <w:rPr>
          <w:b w:val="0"/>
          <w:i w:val="0"/>
          <w:sz w:val="20"/>
        </w:rPr>
        <w:t xml:space="preserve">, </w:t>
      </w:r>
      <w:r>
        <w:rPr>
          <w:rFonts w:ascii="Consolas" w:hAnsi="Consolas"/>
          <w:b w:val="0"/>
          <w:i w:val="0"/>
          <w:color w:val="1B5E8C"/>
          <w:sz w:val="19"/>
        </w:rPr>
        <w:t>PRODUCT</w:t>
      </w:r>
      <w:r>
        <w:rPr>
          <w:b w:val="0"/>
          <w:i w:val="0"/>
          <w:sz w:val="20"/>
        </w:rPr>
        <w:t xml:space="preserve">, </w:t>
      </w:r>
      <w:r>
        <w:rPr>
          <w:rFonts w:ascii="Consolas" w:hAnsi="Consolas"/>
          <w:b w:val="0"/>
          <w:i w:val="0"/>
          <w:color w:val="1B5E8C"/>
          <w:sz w:val="19"/>
        </w:rPr>
        <w:t>PRODUCT_DESCRIPTION</w:t>
      </w:r>
      <w:r>
        <w:rPr>
          <w:b w:val="0"/>
          <w:i w:val="0"/>
          <w:sz w:val="20"/>
        </w:rPr>
        <w:t xml:space="preserve">, </w:t>
      </w:r>
      <w:r>
        <w:rPr>
          <w:rFonts w:ascii="Consolas" w:hAnsi="Consolas"/>
          <w:b w:val="0"/>
          <w:i w:val="0"/>
          <w:color w:val="1B5E8C"/>
          <w:sz w:val="19"/>
        </w:rPr>
        <w:t>PRODUCT_GROUP</w:t>
      </w:r>
      <w:r>
        <w:rPr>
          <w:b w:val="0"/>
          <w:i w:val="0"/>
          <w:sz w:val="20"/>
        </w:rPr>
        <w:t xml:space="preserve">, </w:t>
      </w:r>
      <w:r>
        <w:rPr>
          <w:rFonts w:ascii="Consolas" w:hAnsi="Consolas"/>
          <w:b w:val="0"/>
          <w:i w:val="0"/>
          <w:color w:val="1B5E8C"/>
          <w:sz w:val="19"/>
        </w:rPr>
        <w:t>PRODUCT_GROUP_TEXT</w:t>
      </w:r>
      <w:r>
        <w:rPr>
          <w:b w:val="0"/>
          <w:i w:val="0"/>
          <w:sz w:val="20"/>
        </w:rPr>
        <w:t xml:space="preserve">, </w:t>
      </w:r>
      <w:r>
        <w:rPr>
          <w:rFonts w:ascii="Consolas" w:hAnsi="Consolas"/>
          <w:b w:val="0"/>
          <w:i w:val="0"/>
          <w:color w:val="1B5E8C"/>
          <w:sz w:val="19"/>
        </w:rPr>
        <w:t>SFDC_OPPORTUNITY</w:t>
      </w:r>
      <w:r>
        <w:rPr>
          <w:b w:val="0"/>
          <w:i w:val="0"/>
          <w:sz w:val="20"/>
        </w:rPr>
        <w:t xml:space="preserve">, </w:t>
      </w:r>
      <w:r>
        <w:rPr>
          <w:rFonts w:ascii="Consolas" w:hAnsi="Consolas"/>
          <w:b w:val="0"/>
          <w:i w:val="0"/>
          <w:color w:val="1B5E8C"/>
          <w:sz w:val="19"/>
        </w:rPr>
        <w:t>ACTIVITY</w:t>
      </w:r>
      <w:r>
        <w:rPr>
          <w:b w:val="0"/>
          <w:i w:val="0"/>
          <w:sz w:val="20"/>
        </w:rPr>
        <w:t xml:space="preserve">, </w:t>
      </w:r>
      <w:r>
        <w:rPr>
          <w:rFonts w:ascii="Consolas" w:hAnsi="Consolas"/>
          <w:b w:val="0"/>
          <w:i w:val="0"/>
          <w:color w:val="1B5E8C"/>
          <w:sz w:val="19"/>
        </w:rPr>
        <w:t>SALES_REP</w:t>
      </w:r>
      <w:r>
        <w:rPr>
          <w:b w:val="0"/>
          <w:i w:val="0"/>
          <w:sz w:val="20"/>
        </w:rPr>
        <w:t>.</w:t>
      </w:r>
    </w:p>
    <w:p>
      <w:pPr>
        <w:keepNext/>
        <w:spacing w:before="160" w:after="40"/>
        <w:outlineLvl w:val="2"/>
      </w:pPr>
      <w:r>
        <w:rPr>
          <w:b/>
          <w:color w:val="29B5E8"/>
          <w:sz w:val="20"/>
        </w:rPr>
        <w:t>Which artefact the agent actually reads</w:t>
      </w:r>
    </w:p>
    <w:p>
      <w:pPr>
        <w:spacing w:after="120"/>
      </w:pPr>
      <w:r>
        <w:rPr>
          <w:rFonts w:ascii="Consolas" w:hAnsi="Consolas"/>
          <w:b w:val="0"/>
          <w:i w:val="0"/>
          <w:color w:val="1B5E8C"/>
          <w:sz w:val="19"/>
        </w:rPr>
        <w:t>SAP_SALES_360_AGENT</w:t>
      </w:r>
      <w:r>
        <w:rPr>
          <w:b w:val="0"/>
          <w:i w:val="0"/>
          <w:sz w:val="20"/>
        </w:rPr>
        <w:t xml:space="preserve"> declares exactly one tool: </w:t>
      </w:r>
      <w:r>
        <w:rPr>
          <w:rFonts w:ascii="Consolas" w:hAnsi="Consolas"/>
          <w:b w:val="0"/>
          <w:i w:val="0"/>
          <w:color w:val="1B5E8C"/>
          <w:sz w:val="19"/>
        </w:rPr>
        <w:t>cortex_analyst_text_to_sql</w:t>
      </w:r>
      <w:r>
        <w:rPr>
          <w:b w:val="0"/>
          <w:i w:val="0"/>
          <w:sz w:val="20"/>
        </w:rPr>
        <w:t xml:space="preserve">. That tool binds to the </w:t>
      </w:r>
      <w:r>
        <w:rPr>
          <w:b/>
          <w:i w:val="0"/>
          <w:sz w:val="20"/>
        </w:rPr>
        <w:t>Analyst stage model</w:t>
      </w:r>
      <w:r>
        <w:rPr>
          <w:b w:val="0"/>
          <w:i w:val="0"/>
          <w:sz w:val="20"/>
        </w:rPr>
        <w:t>. Therefore:</w:t>
      </w:r>
    </w:p>
    <w:p>
      <w:pPr>
        <w:pStyle w:val="ListBullet"/>
        <w:spacing w:after="40"/>
      </w:pPr>
      <w:r>
        <w:rPr>
          <w:b w:val="0"/>
          <w:sz w:val="20"/>
        </w:rPr>
        <w:t xml:space="preserve">Every question asked through the agent (in Snowflake Intelligence; the app no longer has an Ask the Agent page) is answered against the </w:t>
      </w:r>
      <w:r>
        <w:rPr>
          <w:b/>
          <w:sz w:val="20"/>
        </w:rPr>
        <w:t>10-table stage model</w:t>
      </w:r>
      <w:r>
        <w:rPr>
          <w:b w:val="0"/>
          <w:sz w:val="20"/>
        </w:rPr>
        <w:t>.</w:t>
      </w:r>
    </w:p>
    <w:p>
      <w:pPr>
        <w:pStyle w:val="ListBullet"/>
        <w:spacing w:after="40"/>
      </w:pPr>
      <w:r>
        <w:rPr>
          <w:b w:val="0"/>
          <w:sz w:val="20"/>
        </w:rPr>
        <w:t xml:space="preserve">The 64-table, 369-dimension, 138-metric semantic view answers </w:t>
      </w:r>
      <w:r>
        <w:rPr>
          <w:b/>
          <w:sz w:val="20"/>
        </w:rPr>
        <w:t>nothing</w:t>
      </w:r>
      <w:r>
        <w:rPr>
          <w:b w:val="0"/>
          <w:sz w:val="20"/>
        </w:rPr>
        <w:t xml:space="preserve"> asked through the agent. It serves direct </w:t>
      </w:r>
      <w:r>
        <w:rPr>
          <w:rFonts w:ascii="Consolas" w:hAnsi="Consolas"/>
          <w:b w:val="0"/>
          <w:color w:val="1B5E8C"/>
          <w:sz w:val="19"/>
        </w:rPr>
        <w:t>SEMANTIC_VIEW(...)</w:t>
      </w:r>
      <w:r>
        <w:rPr>
          <w:b w:val="0"/>
          <w:sz w:val="20"/>
        </w:rPr>
        <w:t xml:space="preserve"> SQL.</w:t>
      </w:r>
    </w:p>
    <w:p>
      <w:pPr>
        <w:keepNext/>
        <w:spacing w:before="160" w:after="40"/>
        <w:outlineLvl w:val="2"/>
      </w:pPr>
      <w:r>
        <w:rPr>
          <w:b/>
          <w:color w:val="29B5E8"/>
          <w:sz w:val="20"/>
        </w:rPr>
        <w:t>What that means when someone edits the wrong one</w:t>
      </w:r>
    </w:p>
    <w:p>
      <w:pPr>
        <w:spacing w:after="120"/>
      </w:pPr>
      <w:r>
        <w:rPr>
          <w:b w:val="0"/>
          <w:i w:val="0"/>
          <w:sz w:val="20"/>
        </w:rPr>
        <w:t>This is the practical cost, and it is a specific, repeatable waste:</w:t>
      </w:r>
    </w:p>
    <w:p>
      <w:pPr>
        <w:spacing w:after="120"/>
      </w:pPr>
      <w:r>
        <w:rPr>
          <w:b w:val="0"/>
          <w:i w:val="0"/>
          <w:sz w:val="20"/>
        </w:rPr>
        <w:t xml:space="preserve">An agent answer is wrong. The obvious place to look is the large, well-populated, 138-metric semantic view — it is a first-class database object, it is discoverable, and it has the same name as the model. Someone adds the missing metric there, redeploys, re-asks, and </w:t>
      </w:r>
      <w:r>
        <w:rPr>
          <w:b/>
          <w:i w:val="0"/>
          <w:sz w:val="20"/>
        </w:rPr>
        <w:t>nothing changes</w:t>
      </w:r>
      <w:r>
        <w:rPr>
          <w:b w:val="0"/>
          <w:i w:val="0"/>
          <w:sz w:val="20"/>
        </w:rPr>
        <w:t>. The answer is still wrong, because the agent never read that object. The edit is correct in itself and irrelevant to the symptom.</w:t>
      </w:r>
    </w:p>
    <w:p>
      <w:pPr>
        <w:spacing w:after="120"/>
      </w:pPr>
      <w:r>
        <w:rPr>
          <w:b w:val="0"/>
          <w:i w:val="0"/>
          <w:sz w:val="20"/>
        </w:rPr>
        <w:t>Worse, the reverse also holds. A metric fixed only in the stage YAML does not appear to anyone querying the semantic view, so the two artefacts drift. With 138 metrics on one side and 0 measures on the other, they have already drifted about as far as they can.</w:t>
      </w:r>
    </w:p>
    <w:p>
      <w:pPr>
        <w:keepNext/>
        <w:spacing w:before="160" w:after="40"/>
        <w:outlineLvl w:val="2"/>
      </w:pPr>
      <w:r>
        <w:rPr>
          <w:b/>
          <w:color w:val="29B5E8"/>
          <w:sz w:val="20"/>
        </w:rPr>
        <w:t>The rule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Symptom</w:t>
            </w:r>
          </w:p>
        </w:tc>
        <w:tc>
          <w:tcPr>
            <w:tcW w:type="dxa" w:w="7056"/>
            <w:shd w:val="clear" w:fill="1B3A57"/>
          </w:tcPr>
          <w:p>
            <w:pPr>
              <w:spacing w:after="20"/>
            </w:pPr>
            <w:r/>
            <w:r>
              <w:rPr>
                <w:b/>
                <w:color w:val="FFFFFF"/>
                <w:sz w:val="17"/>
              </w:rPr>
              <w:t>Edit</w:t>
            </w:r>
          </w:p>
        </w:tc>
      </w:tr>
      <w:tr>
        <w:trPr>
          <w:cantSplit/>
        </w:trPr>
        <w:tc>
          <w:tcPr>
            <w:tcW w:type="dxa" w:w="2880"/>
          </w:tcPr>
          <w:p>
            <w:pPr>
              <w:spacing w:after="20"/>
            </w:pPr>
            <w:r/>
            <w:r>
              <w:rPr>
                <w:b w:val="0"/>
                <w:sz w:val="17"/>
              </w:rPr>
              <w:t>Agent answer wrong</w:t>
            </w:r>
          </w:p>
        </w:tc>
        <w:tc>
          <w:tcPr>
            <w:tcW w:type="dxa" w:w="7056"/>
          </w:tcPr>
          <w:p>
            <w:pPr>
              <w:spacing w:after="20"/>
            </w:pPr>
            <w:r/>
            <w:r>
              <w:rPr>
                <w:b w:val="0"/>
                <w:sz w:val="17"/>
              </w:rPr>
              <w:t xml:space="preserve">the </w:t>
            </w:r>
            <w:r>
              <w:rPr>
                <w:b/>
                <w:sz w:val="17"/>
              </w:rPr>
              <w:t>stage YAML</w:t>
            </w:r>
          </w:p>
        </w:tc>
      </w:tr>
      <w:tr>
        <w:trPr>
          <w:cantSplit/>
        </w:trPr>
        <w:tc>
          <w:tcPr>
            <w:tcW w:type="dxa" w:w="2880"/>
            <w:shd w:val="clear" w:fill="EEF4F8"/>
          </w:tcPr>
          <w:p>
            <w:pPr>
              <w:spacing w:after="20"/>
            </w:pPr>
            <w:r/>
            <w:r>
              <w:rPr>
                <w:rFonts w:ascii="Consolas" w:hAnsi="Consolas"/>
                <w:b w:val="0"/>
                <w:color w:val="1B5E8C"/>
                <w:sz w:val="16"/>
              </w:rPr>
              <w:t>SEMANTIC_VIEW(...)</w:t>
            </w:r>
            <w:r>
              <w:rPr>
                <w:b w:val="0"/>
                <w:sz w:val="17"/>
              </w:rPr>
              <w:t xml:space="preserve"> result wrong</w:t>
            </w:r>
          </w:p>
        </w:tc>
        <w:tc>
          <w:tcPr>
            <w:tcW w:type="dxa" w:w="7056"/>
            <w:shd w:val="clear" w:fill="EEF4F8"/>
          </w:tcPr>
          <w:p>
            <w:pPr>
              <w:spacing w:after="20"/>
            </w:pPr>
            <w:r/>
            <w:r>
              <w:rPr>
                <w:b w:val="0"/>
                <w:sz w:val="17"/>
              </w:rPr>
              <w:t xml:space="preserve">the </w:t>
            </w:r>
            <w:r>
              <w:rPr>
                <w:b/>
                <w:sz w:val="17"/>
              </w:rPr>
              <w:t>semantic view</w:t>
            </w:r>
          </w:p>
        </w:tc>
      </w:tr>
    </w:tbl>
    <w:p>
      <w:pPr>
        <w:spacing w:after="80"/>
      </w:pPr>
    </w:p>
    <w:p>
      <w:pPr>
        <w:spacing w:after="120"/>
      </w:pPr>
      <w:r>
        <w:rPr>
          <w:b w:val="0"/>
          <w:i w:val="0"/>
          <w:sz w:val="20"/>
        </w:rPr>
        <w:t>Anything a customer is expected to ask the agent must be in the stage model. The 54 logical tables that exist only in the semantic view are unreachable from natural language, and the 138 metrics are unreachable from the agent. Detail in the semantic layer (08-semantic-layer.md#which-artefact-to-edit).</w:t>
      </w:r>
    </w:p>
    <w:p>
      <w:pPr>
        <w:spacing w:before="80" w:after="160"/>
        <w:jc w:val="center"/>
      </w:pPr>
      <w:r>
        <w:rPr>
          <w:color w:val="C8D4DE"/>
          <w:sz w:val="12"/>
        </w:rPr>
        <w:t>──────────────────────────────────────────────────────────</w:t>
      </w:r>
    </w:p>
    <w:p>
      <w:pPr>
        <w:keepNext/>
        <w:spacing w:before="240" w:after="60"/>
        <w:outlineLvl w:val="1"/>
      </w:pPr>
      <w:r>
        <w:rPr>
          <w:b/>
          <w:color w:val="1B3A57"/>
          <w:sz w:val="23"/>
        </w:rPr>
        <w:t>Summary of open gaps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Gap</w:t>
            </w:r>
          </w:p>
        </w:tc>
        <w:tc>
          <w:tcPr>
            <w:tcW w:type="dxa" w:w="3528"/>
            <w:shd w:val="clear" w:fill="1B3A57"/>
          </w:tcPr>
          <w:p>
            <w:pPr>
              <w:spacing w:after="20"/>
            </w:pPr>
            <w:r/>
            <w:r>
              <w:rPr>
                <w:b/>
                <w:color w:val="FFFFFF"/>
                <w:sz w:val="17"/>
              </w:rPr>
              <w:t>Severity</w:t>
            </w:r>
          </w:p>
        </w:tc>
        <w:tc>
          <w:tcPr>
            <w:tcW w:type="dxa" w:w="3528"/>
            <w:shd w:val="clear" w:fill="1B3A57"/>
          </w:tcPr>
          <w:p>
            <w:pPr>
              <w:spacing w:after="20"/>
            </w:pPr>
            <w:r/>
            <w:r>
              <w:rPr>
                <w:b/>
                <w:color w:val="FFFFFF"/>
                <w:sz w:val="17"/>
              </w:rPr>
              <w:t>Fix</w:t>
            </w:r>
          </w:p>
        </w:tc>
      </w:tr>
      <w:tr>
        <w:trPr>
          <w:cantSplit/>
        </w:trPr>
        <w:tc>
          <w:tcPr>
            <w:tcW w:type="dxa" w:w="2880"/>
          </w:tcPr>
          <w:p>
            <w:pPr>
              <w:spacing w:after="20"/>
            </w:pPr>
            <w:r/>
            <w:r>
              <w:rPr>
                <w:b w:val="0"/>
                <w:sz w:val="17"/>
              </w:rPr>
              <w:t>Open pipeline is 100% past due — 0 of 3,201 have a future close date</w:t>
            </w:r>
          </w:p>
        </w:tc>
        <w:tc>
          <w:tcPr>
            <w:tcW w:type="dxa" w:w="3528"/>
          </w:tcPr>
          <w:p>
            <w:pPr>
              <w:spacing w:after="20"/>
            </w:pPr>
            <w:r/>
            <w:r>
              <w:rPr>
                <w:b w:val="0"/>
                <w:sz w:val="17"/>
              </w:rPr>
              <w:t>high</w:t>
            </w:r>
          </w:p>
        </w:tc>
        <w:tc>
          <w:tcPr>
            <w:tcW w:type="dxa" w:w="3528"/>
          </w:tcPr>
          <w:p>
            <w:pPr>
              <w:spacing w:after="20"/>
            </w:pPr>
            <w:r/>
            <w:r>
              <w:rPr>
                <w:b w:val="0"/>
                <w:sz w:val="17"/>
              </w:rPr>
              <w:t>state it when the forecast page appears; regenerate close dates to fix properly</w:t>
            </w:r>
          </w:p>
        </w:tc>
      </w:tr>
      <w:tr>
        <w:trPr>
          <w:cantSplit/>
        </w:trPr>
        <w:tc>
          <w:tcPr>
            <w:tcW w:type="dxa" w:w="2880"/>
            <w:shd w:val="clear" w:fill="EEF4F8"/>
          </w:tcPr>
          <w:p>
            <w:pPr>
              <w:spacing w:after="20"/>
            </w:pPr>
            <w:r/>
            <w:r>
              <w:rPr>
                <w:b w:val="0"/>
                <w:sz w:val="17"/>
              </w:rPr>
              <w:t>Win rate is ambiguous by 6.6 points between count and value basis</w:t>
            </w:r>
          </w:p>
        </w:tc>
        <w:tc>
          <w:tcPr>
            <w:tcW w:type="dxa" w:w="3528"/>
            <w:shd w:val="clear" w:fill="EEF4F8"/>
          </w:tcPr>
          <w:p>
            <w:pPr>
              <w:spacing w:after="20"/>
            </w:pPr>
            <w:r/>
            <w:r>
              <w:rPr>
                <w:b w:val="0"/>
                <w:sz w:val="17"/>
              </w:rPr>
              <w:t>high</w:t>
            </w:r>
          </w:p>
        </w:tc>
        <w:tc>
          <w:tcPr>
            <w:tcW w:type="dxa" w:w="3528"/>
            <w:shd w:val="clear" w:fill="EEF4F8"/>
          </w:tcPr>
          <w:p>
            <w:pPr>
              <w:spacing w:after="20"/>
            </w:pPr>
            <w:r/>
            <w:r>
              <w:rPr>
                <w:b w:val="0"/>
                <w:sz w:val="17"/>
              </w:rPr>
              <w:t>expose both bases as distinctly named metrics</w:t>
            </w:r>
          </w:p>
        </w:tc>
      </w:tr>
      <w:tr>
        <w:trPr>
          <w:cantSplit/>
        </w:trPr>
        <w:tc>
          <w:tcPr>
            <w:tcW w:type="dxa" w:w="2880"/>
          </w:tcPr>
          <w:p>
            <w:pPr>
              <w:spacing w:after="20"/>
            </w:pPr>
            <w:r/>
            <w:r>
              <w:rPr>
                <w:b w:val="0"/>
                <w:sz w:val="17"/>
              </w:rPr>
              <w:t>L1 is 31 materialised tables, 1,437,370 rows duplicated into L2</w:t>
            </w:r>
          </w:p>
        </w:tc>
        <w:tc>
          <w:tcPr>
            <w:tcW w:type="dxa" w:w="3528"/>
          </w:tcPr>
          <w:p>
            <w:pPr>
              <w:spacing w:after="20"/>
            </w:pPr>
            <w:r/>
            <w:r>
              <w:rPr>
                <w:b w:val="0"/>
                <w:sz w:val="17"/>
              </w:rPr>
              <w:t>medium</w:t>
            </w:r>
          </w:p>
        </w:tc>
        <w:tc>
          <w:tcPr>
            <w:tcW w:type="dxa" w:w="3528"/>
          </w:tcPr>
          <w:p>
            <w:pPr>
              <w:spacing w:after="20"/>
            </w:pPr>
            <w:r/>
            <w:r>
              <w:rPr>
                <w:b w:val="0"/>
                <w:sz w:val="17"/>
              </w:rPr>
              <w:t>convert L1 to passthrough views</w:t>
            </w:r>
          </w:p>
        </w:tc>
      </w:tr>
      <w:tr>
        <w:trPr>
          <w:cantSplit/>
        </w:trPr>
        <w:tc>
          <w:tcPr>
            <w:tcW w:type="dxa" w:w="2880"/>
            <w:shd w:val="clear" w:fill="EEF4F8"/>
          </w:tcPr>
          <w:p>
            <w:pPr>
              <w:spacing w:after="20"/>
            </w:pPr>
            <w:r/>
            <w:r>
              <w:rPr>
                <w:b w:val="0"/>
                <w:sz w:val="17"/>
              </w:rPr>
              <w:t>0 verified queries on the stage model</w:t>
            </w:r>
          </w:p>
        </w:tc>
        <w:tc>
          <w:tcPr>
            <w:tcW w:type="dxa" w:w="3528"/>
            <w:shd w:val="clear" w:fill="EEF4F8"/>
          </w:tcPr>
          <w:p>
            <w:pPr>
              <w:spacing w:after="20"/>
            </w:pPr>
            <w:r/>
            <w:r>
              <w:rPr>
                <w:b w:val="0"/>
                <w:sz w:val="17"/>
              </w:rPr>
              <w:t>medium</w:t>
            </w:r>
          </w:p>
        </w:tc>
        <w:tc>
          <w:tcPr>
            <w:tcW w:type="dxa" w:w="3528"/>
            <w:shd w:val="clear" w:fill="EEF4F8"/>
          </w:tcPr>
          <w:p>
            <w:pPr>
              <w:spacing w:after="20"/>
            </w:pPr>
            <w:r/>
            <w:r>
              <w:rPr>
                <w:b w:val="0"/>
                <w:sz w:val="17"/>
              </w:rPr>
              <w:t>add the queries listed in part 7</w:t>
            </w:r>
          </w:p>
        </w:tc>
      </w:tr>
      <w:tr>
        <w:trPr>
          <w:cantSplit/>
        </w:trPr>
        <w:tc>
          <w:tcPr>
            <w:tcW w:type="dxa" w:w="2880"/>
          </w:tcPr>
          <w:p>
            <w:pPr>
              <w:spacing w:after="20"/>
            </w:pPr>
            <w:r/>
            <w:r>
              <w:rPr>
                <w:b w:val="0"/>
                <w:sz w:val="17"/>
              </w:rPr>
              <w:t>0 measures on the stage model</w:t>
            </w:r>
          </w:p>
        </w:tc>
        <w:tc>
          <w:tcPr>
            <w:tcW w:type="dxa" w:w="3528"/>
          </w:tcPr>
          <w:p>
            <w:pPr>
              <w:spacing w:after="20"/>
            </w:pPr>
            <w:r/>
            <w:r>
              <w:rPr>
                <w:b w:val="0"/>
                <w:sz w:val="17"/>
              </w:rPr>
              <w:t>medium</w:t>
            </w:r>
          </w:p>
        </w:tc>
        <w:tc>
          <w:tcPr>
            <w:tcW w:type="dxa" w:w="3528"/>
          </w:tcPr>
          <w:p>
            <w:pPr>
              <w:spacing w:after="20"/>
            </w:pPr>
            <w:r/>
            <w:r>
              <w:rPr>
                <w:b w:val="0"/>
                <w:sz w:val="17"/>
              </w:rPr>
              <w:t>declare measures for won value, attainment, win rate</w:t>
            </w:r>
          </w:p>
        </w:tc>
      </w:tr>
      <w:tr>
        <w:trPr>
          <w:cantSplit/>
        </w:trPr>
        <w:tc>
          <w:tcPr>
            <w:tcW w:type="dxa" w:w="2880"/>
            <w:shd w:val="clear" w:fill="EEF4F8"/>
          </w:tcPr>
          <w:p>
            <w:pPr>
              <w:spacing w:after="20"/>
            </w:pPr>
            <w:r/>
            <w:r>
              <w:rPr>
                <w:b w:val="0"/>
                <w:sz w:val="17"/>
              </w:rPr>
              <w:t>64-table semantic view vs 10-table stage model; agent reads only the latter</w:t>
            </w:r>
          </w:p>
        </w:tc>
        <w:tc>
          <w:tcPr>
            <w:tcW w:type="dxa" w:w="3528"/>
            <w:shd w:val="clear" w:fill="EEF4F8"/>
          </w:tcPr>
          <w:p>
            <w:pPr>
              <w:spacing w:after="20"/>
            </w:pPr>
            <w:r/>
            <w:r>
              <w:rPr>
                <w:b w:val="0"/>
                <w:sz w:val="17"/>
              </w:rPr>
              <w:t>medium</w:t>
            </w:r>
          </w:p>
        </w:tc>
        <w:tc>
          <w:tcPr>
            <w:tcW w:type="dxa" w:w="3528"/>
            <w:shd w:val="clear" w:fill="EEF4F8"/>
          </w:tcPr>
          <w:p>
            <w:pPr>
              <w:spacing w:after="20"/>
            </w:pPr>
            <w:r/>
            <w:r>
              <w:rPr>
                <w:b w:val="0"/>
                <w:sz w:val="17"/>
              </w:rPr>
              <w:t>promote the metrics that matter into the stage model, or document the split at the top of both</w:t>
            </w:r>
          </w:p>
        </w:tc>
      </w:tr>
      <w:tr>
        <w:trPr>
          <w:cantSplit/>
        </w:trPr>
        <w:tc>
          <w:tcPr>
            <w:tcW w:type="dxa" w:w="2880"/>
          </w:tcPr>
          <w:p>
            <w:pPr>
              <w:spacing w:after="20"/>
            </w:pPr>
            <w:r/>
            <w:r>
              <w:rPr>
                <w:b w:val="0"/>
                <w:sz w:val="17"/>
              </w:rPr>
              <w:t>Three ML tables are plain and will not refresh with the dynamic tables</w:t>
            </w:r>
          </w:p>
        </w:tc>
        <w:tc>
          <w:tcPr>
            <w:tcW w:type="dxa" w:w="3528"/>
          </w:tcPr>
          <w:p>
            <w:pPr>
              <w:spacing w:after="20"/>
            </w:pPr>
            <w:r/>
            <w:r>
              <w:rPr>
                <w:b w:val="0"/>
                <w:sz w:val="17"/>
              </w:rPr>
              <w:t>low</w:t>
            </w:r>
          </w:p>
        </w:tc>
        <w:tc>
          <w:tcPr>
            <w:tcW w:type="dxa" w:w="3528"/>
          </w:tcPr>
          <w:p>
            <w:pPr>
              <w:spacing w:after="20"/>
            </w:pPr>
            <w:r/>
            <w:r>
              <w:rPr>
                <w:b w:val="0"/>
                <w:sz w:val="17"/>
              </w:rPr>
              <w:t>add re-inference to the refresh runbook</w:t>
            </w:r>
          </w:p>
        </w:tc>
      </w:tr>
      <w:tr>
        <w:trPr>
          <w:cantSplit/>
        </w:trPr>
        <w:tc>
          <w:tcPr>
            <w:tcW w:type="dxa" w:w="2880"/>
            <w:shd w:val="clear" w:fill="EEF4F8"/>
          </w:tcPr>
          <w:p>
            <w:pPr>
              <w:spacing w:after="20"/>
            </w:pPr>
            <w:r/>
            <w:r>
              <w:rPr>
                <w:b w:val="0"/>
                <w:sz w:val="17"/>
              </w:rPr>
              <w:t>No series reaches the current date — three different end dates</w:t>
            </w:r>
          </w:p>
        </w:tc>
        <w:tc>
          <w:tcPr>
            <w:tcW w:type="dxa" w:w="3528"/>
            <w:shd w:val="clear" w:fill="EEF4F8"/>
          </w:tcPr>
          <w:p>
            <w:pPr>
              <w:spacing w:after="20"/>
            </w:pPr>
            <w:r/>
            <w:r>
              <w:rPr>
                <w:b w:val="0"/>
                <w:sz w:val="17"/>
              </w:rPr>
              <w:t>low</w:t>
            </w:r>
          </w:p>
        </w:tc>
        <w:tc>
          <w:tcPr>
            <w:tcW w:type="dxa" w:w="3528"/>
            <w:shd w:val="clear" w:fill="EEF4F8"/>
          </w:tcPr>
          <w:p>
            <w:pPr>
              <w:spacing w:after="20"/>
            </w:pPr>
            <w:r/>
            <w:r>
              <w:rPr>
                <w:b w:val="0"/>
                <w:sz w:val="17"/>
              </w:rPr>
              <w:t>use absolute date ranges in demo and verified queries</w:t>
            </w:r>
          </w:p>
        </w:tc>
      </w:tr>
    </w:tbl>
    <w:p>
      <w:pPr>
        <w:spacing w:after="80"/>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