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color w:val="29B5E8"/>
          <w:sz w:val="26"/>
        </w:rPr>
        <w:t>SAP BDC Sales 360</w:t>
      </w:r>
    </w:p>
    <w:p>
      <w:pPr>
        <w:spacing w:after="40"/>
      </w:pPr>
      <w:r>
        <w:rPr>
          <w:b/>
          <w:color w:val="1B3A57"/>
          <w:sz w:val="44"/>
        </w:rPr>
        <w:t>References</w:t>
      </w:r>
    </w:p>
    <w:p>
      <w:pPr>
        <w:spacing w:after="280"/>
      </w:pPr>
      <w:r>
        <w:rPr>
          <w:color w:val="5A6A7A"/>
          <w:sz w:val="19"/>
        </w:rPr>
        <w:t>Generated from docs/06-references.md  ·  part 06</w:t>
      </w:r>
    </w:p>
    <w:p>
      <w:pPr>
        <w:spacing w:after="120"/>
      </w:pPr>
      <w:r>
        <w:rPr>
          <w:b w:val="0"/>
          <w:i w:val="0"/>
          <w:sz w:val="20"/>
        </w:rPr>
        <w:t>Where every artefact in this stack lives, what produced it, and what is deliberately out of scope.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This repository</w:t>
      </w:r>
    </w:p>
    <w:p>
      <w:pPr>
        <w:keepNext/>
        <w:spacing w:before="160" w:after="40"/>
        <w:outlineLvl w:val="2"/>
      </w:pPr>
      <w:r>
        <w:rPr>
          <w:rFonts w:ascii="Consolas" w:hAnsi="Consolas"/>
          <w:b/>
          <w:color w:val="29B5E8"/>
          <w:sz w:val="19"/>
        </w:rPr>
        <w:t>sfc-gh-dfreriks/sap-bdc-sales-360</w:t>
      </w:r>
      <w:r>
        <w:rPr>
          <w:b/>
          <w:color w:val="29B5E8"/>
          <w:sz w:val="20"/>
        </w:rPr>
        <w:t xml:space="preserve"> (https://github.com/sfc-gh-dfreriks/sap-bdc-sales-360)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7056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Contents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app/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React client and Express server;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api.ts</w:t>
            </w:r>
            <w:r>
              <w:rPr>
                <w:b w:val="0"/>
                <w:sz w:val="17"/>
              </w:rPr>
              <w:t xml:space="preserve"> holds all SQL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sql/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L1 and L2 object definitions, semantic view, agent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scripts/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deployment and refresh helpers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service/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Native App service specification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docs/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this handbook, parts 1–8, plus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ARCHITECTURE.md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INSTALL.md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DEMO_GUIDE.md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docs/docx/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Word renderings — 8 part documents plus the combined handbook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tools/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fact extraction, document and deck builders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 xml:space="preserve">Branch for these assets: </w:t>
      </w:r>
      <w:r>
        <w:rPr>
          <w:rFonts w:ascii="Consolas" w:hAnsi="Consolas"/>
          <w:b w:val="0"/>
          <w:i w:val="0"/>
          <w:color w:val="1B5E8C"/>
          <w:sz w:val="19"/>
        </w:rPr>
        <w:t>sales-360-assets</w:t>
      </w:r>
      <w:r>
        <w:rPr>
          <w:b w:val="0"/>
          <w:i w:val="0"/>
          <w:sz w:val="20"/>
        </w:rPr>
        <w:t>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Deployed objects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Object</w:t>
            </w:r>
          </w:p>
        </w:tc>
        <w:tc>
          <w:tcPr>
            <w:tcW w:type="dxa" w:w="7056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Identifier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Account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MSB89522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Region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PUBLIC.AWS_US_WEST_2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Database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SAP_SALES_360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L1 schema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SAP_SALES_360.SAP_BDC_L1</w:t>
            </w:r>
            <w:r>
              <w:rPr>
                <w:b w:val="0"/>
                <w:sz w:val="17"/>
              </w:rPr>
              <w:t xml:space="preserve"> — 31 tables, 2,551,850 rows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L2 schema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SAP_SALES_360.SALES_360_L2</w:t>
            </w:r>
            <w:r>
              <w:rPr>
                <w:b w:val="0"/>
                <w:sz w:val="17"/>
              </w:rPr>
              <w:t xml:space="preserve"> — 14 tables, 1,478,495 rows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Semantic schema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SAP_SALES_360.SEMANTIC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Semantic view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SAP_SALES_360.SEMANTIC.SAP_SALES_360_ANALYTICS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Analyst stage model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@SAP_SALES_360.SEMANTIC.SEMANTIC_STAGE/sap_sales_360_semantic.yaml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Cortex Agent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SAP_SALES_360.SEMANTIC.SAP_SALES_360_AGENT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Application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mrzht4-sfsenorthamerica-dfreriks-aws1-w2.snowflakecomputing.app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 xml:space="preserve">The application URL is returned by </w:t>
      </w:r>
      <w:r>
        <w:rPr>
          <w:rFonts w:ascii="Consolas" w:hAnsi="Consolas"/>
          <w:b w:val="0"/>
          <w:i w:val="0"/>
          <w:color w:val="1B5E8C"/>
          <w:sz w:val="19"/>
        </w:rPr>
        <w:t>CALL SALES_360_APP.CORE.APP_URL()</w:t>
      </w:r>
      <w:r>
        <w:rPr>
          <w:b w:val="0"/>
          <w:i w:val="0"/>
          <w:sz w:val="20"/>
        </w:rPr>
        <w:t xml:space="preserve"> rather than hard-coded, so it survives a redeploy.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Upstream data</w:t>
      </w:r>
    </w:p>
    <w:p>
      <w:pPr>
        <w:keepNext/>
        <w:spacing w:before="160" w:after="40"/>
        <w:outlineLvl w:val="2"/>
      </w:pPr>
      <w:r>
        <w:rPr>
          <w:b/>
          <w:color w:val="29B5E8"/>
          <w:sz w:val="20"/>
        </w:rPr>
        <w:t>SAP Business Data Cloud Standard Data Products</w:t>
      </w:r>
    </w:p>
    <w:p>
      <w:pPr>
        <w:spacing w:after="120"/>
      </w:pPr>
      <w:r>
        <w:rPr>
          <w:b w:val="0"/>
          <w:i w:val="0"/>
          <w:sz w:val="20"/>
        </w:rPr>
        <w:t>L0 is a set of SAP BDC Standard Data Products, mounted into the account as shared databases and read in place. Nothing is copied at that boundary.</w:t>
      </w:r>
    </w:p>
    <w:p>
      <w:pPr>
        <w:spacing w:after="120"/>
      </w:pPr>
      <w:r>
        <w:rPr>
          <w:b w:val="0"/>
          <w:i w:val="0"/>
          <w:sz w:val="20"/>
        </w:rPr>
        <w:t>The object families that reach L1: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3528"/>
        <w:gridCol w:w="3528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Family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L1 objects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Sales orders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header and item; 558,011 and 735,305 rows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Product master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plant, valuation, costing, storage, procurement, UoM, quality, forecast facets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Product classification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description, group, group text, MRP area, international trade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CRM opportunity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opportunity, activity, sales rep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Customer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3,189 rows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Forecast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SALES_FORECAST</w:t>
            </w:r>
            <w:r>
              <w:rPr>
                <w:b w:val="0"/>
                <w:sz w:val="17"/>
              </w:rPr>
              <w:t>, 41,100 rows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>The product master's shape is worth noting when reading the object list: six objects carry exactly 92,243 rows (the plant grain across facets) and three carry 83,501 (the valuation grain). That repetition is SAP's model reproduced faithfully, not a load artefact.</w:t>
      </w:r>
    </w:p>
    <w:p>
      <w:pPr>
        <w:spacing w:after="120"/>
      </w:pPr>
      <w:r>
        <w:rPr>
          <w:b w:val="0"/>
          <w:i w:val="0"/>
          <w:sz w:val="20"/>
        </w:rPr>
        <w:t>The shape of L0 is not ours to change. Column names, grains, and the absence of anything SAP does not publish are givens — see concepts (01-concepts.md#zero-copy-at-the-l0-boundary).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Snowflake platform features used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3528"/>
        <w:gridCol w:w="3528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Where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Note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Secure data sharing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L0 → L1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the zero-copy boundary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Dynamic tables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L2, 11 objects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refresh driven by the declared lag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Semantic views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SEMANTIC.SAP_SALES_360_ANALYTICS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64 tables, 369 dims, 69 facts, 138 metrics, 44 relationships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Cortex Analyst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stage YAML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10 tables, 64 dims, 9 facts, 0 measures, 0 verified queries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Cortex Agent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SAP_SALES_360_AGENT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1 tool,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auto</w:t>
            </w:r>
            <w:r>
              <w:rPr>
                <w:b w:val="0"/>
                <w:sz w:val="17"/>
              </w:rPr>
              <w:t xml:space="preserve"> orchestration,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VERSION$1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Native Apps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the 7-page application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packaged for Snowpark Container Services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Snowpark Container Services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app runtime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React client, Express server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ML output tables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 plain tables in L2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12, 6 and 7 rows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 xml:space="preserve">Notably </w:t>
      </w:r>
      <w:r>
        <w:rPr>
          <w:b/>
          <w:i w:val="0"/>
          <w:sz w:val="20"/>
        </w:rPr>
        <w:t>not</w:t>
      </w:r>
      <w:r>
        <w:rPr>
          <w:b w:val="0"/>
          <w:i w:val="0"/>
          <w:sz w:val="20"/>
        </w:rPr>
        <w:t xml:space="preserve"> used: materialized views (none in either schema), streams and tasks (dynamic tables cover the refresh), and Cortex Search (the agent has no search tool).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Companion asset — Finance 360</w:t>
      </w:r>
    </w:p>
    <w:p>
      <w:pPr>
        <w:keepNext/>
        <w:spacing w:before="160" w:after="40"/>
        <w:outlineLvl w:val="2"/>
      </w:pPr>
      <w:r>
        <w:rPr>
          <w:rFonts w:ascii="Consolas" w:hAnsi="Consolas"/>
          <w:b/>
          <w:color w:val="29B5E8"/>
          <w:sz w:val="19"/>
        </w:rPr>
        <w:t>sfc-gh-dfreriks/sap-bdc-finance-360</w:t>
      </w:r>
      <w:r>
        <w:rPr>
          <w:b/>
          <w:color w:val="29B5E8"/>
          <w:sz w:val="20"/>
        </w:rPr>
        <w:t xml:space="preserve"> (https://github.com/sfc-gh-dfreriks/sap-bdc-finance-360)</w:t>
      </w:r>
    </w:p>
    <w:p>
      <w:pPr>
        <w:spacing w:after="120"/>
      </w:pPr>
      <w:r>
        <w:rPr>
          <w:b w:val="0"/>
          <w:i w:val="0"/>
          <w:sz w:val="20"/>
        </w:rPr>
        <w:t>The sibling build over SAP finance data products. It shares the layer naming, the toolchain and the documentation structure, and differs in three ways that this handbook refers to directly: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3528"/>
        <w:gridCol w:w="3528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Finance 360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Sales 360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L1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6 passthrough </w:t>
            </w:r>
            <w:r>
              <w:rPr>
                <w:b/>
                <w:sz w:val="17"/>
              </w:rPr>
              <w:t>views</w:t>
            </w:r>
            <w:r>
              <w:rPr>
                <w:b w:val="0"/>
                <w:sz w:val="17"/>
              </w:rPr>
              <w:t>, no storage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31 materialised </w:t>
            </w:r>
            <w:r>
              <w:rPr>
                <w:b/>
                <w:sz w:val="17"/>
              </w:rPr>
              <w:t>tables</w:t>
            </w:r>
            <w:r>
              <w:rPr>
                <w:b w:val="0"/>
                <w:sz w:val="17"/>
              </w:rPr>
              <w:t>, 2,551,850 rows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App data sources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L2 </w:t>
            </w:r>
            <w:r>
              <w:rPr>
                <w:b/>
                <w:sz w:val="17"/>
              </w:rPr>
              <w:t>and</w:t>
            </w:r>
            <w:r>
              <w:rPr>
                <w:b w:val="0"/>
                <w:sz w:val="17"/>
              </w:rPr>
              <w:t xml:space="preserve"> the L0 shares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L2 only, 53 reads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Semantic artefacts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two semantic views plus a stage model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one semantic view plus a stage model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App pages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7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>The L1 contrast is the substantive one and is argued in findings (05-findings.md#l1-is-not-zero-copy). The app-reads contrast cuts the other way: Sales 360's single-layer dependency is the cleaner of the two.</w:t>
      </w:r>
    </w:p>
    <w:p>
      <w:pPr>
        <w:keepNext/>
        <w:spacing w:before="160" w:after="40"/>
        <w:outlineLvl w:val="2"/>
      </w:pPr>
      <w:r>
        <w:rPr>
          <w:b/>
          <w:color w:val="29B5E8"/>
          <w:sz w:val="20"/>
        </w:rPr>
        <w:t>Toolchain shared across the family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Tool</w:t>
            </w:r>
          </w:p>
        </w:tc>
        <w:tc>
          <w:tcPr>
            <w:tcW w:type="dxa" w:w="7056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tools/sales_facts.py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extracts every figure in this handbook, with a provenance entry per fact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tools/build_docs_docx.py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renders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docs/01</w:t>
            </w:r>
            <w:r>
              <w:rPr>
                <w:b w:val="0"/>
                <w:sz w:val="17"/>
              </w:rPr>
              <w:t>–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08</w:t>
            </w:r>
            <w:r>
              <w:rPr>
                <w:b w:val="0"/>
                <w:sz w:val="17"/>
              </w:rPr>
              <w:t xml:space="preserve"> into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docs/docx/</w:t>
            </w:r>
            <w:r>
              <w:rPr>
                <w:b w:val="0"/>
                <w:sz w:val="17"/>
              </w:rPr>
              <w:t xml:space="preserve"> — 9 files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tools/build_management_summary.py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executive Word summary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tools/build_presales_kit.py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presales Word kit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tools/build_presales_deck.py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PowerPoint deck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tools/build_demo_scripts.py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demo narration scripts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tools/docx_kit.py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shared palette, page setup and table helpers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tools/pptx_kit.py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the PowerPoint equivalent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tools/verify_word_assets.py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checks the Word outputs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onsolas" w:hAnsi="Consolas"/>
          <w:b w:val="0"/>
          <w:i w:val="0"/>
          <w:color w:val="1B5E8C"/>
          <w:sz w:val="19"/>
        </w:rPr>
        <w:t>docx_kit.py</w:t>
      </w:r>
      <w:r>
        <w:rPr>
          <w:b w:val="0"/>
          <w:i w:val="0"/>
          <w:sz w:val="20"/>
        </w:rPr>
        <w:t xml:space="preserve"> is byte-identical to the Finance 360 copy, which is what makes the two document sets read as one family.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Generated artefacts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3528"/>
        <w:gridCol w:w="3528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Artefact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Output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This handbook, parts 1–8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docs/0*.md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markdown, source of record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Word part documents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tools/build_docs_docx.py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docs/docx/0*_*.docx</w:t>
            </w:r>
            <w:r>
              <w:rPr>
                <w:b w:val="0"/>
                <w:sz w:val="17"/>
              </w:rPr>
              <w:t>, 8 files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Combined handbook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same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docs/docx/SAP_Sales_360_Documentation_Handbook.docx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Demo guide deck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tools/build_presales_deck.py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docs/SAP_Sales_360_Demo_Guide.pptx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>The markdown is the source of record. The Word files are regenerated from it and should never be edited directly — an edit there is lost on the next build.</w:t>
      </w:r>
    </w:p>
    <w:p>
      <w:pPr>
        <w:keepNext/>
        <w:spacing w:before="160" w:after="40"/>
        <w:outlineLvl w:val="2"/>
      </w:pPr>
      <w:r>
        <w:rPr>
          <w:b/>
          <w:color w:val="29B5E8"/>
          <w:sz w:val="20"/>
        </w:rPr>
        <w:t>A note on the renderer</w:t>
      </w:r>
    </w:p>
    <w:p>
      <w:pPr>
        <w:spacing w:after="120"/>
      </w:pPr>
      <w:r>
        <w:rPr>
          <w:rFonts w:ascii="Consolas" w:hAnsi="Consolas"/>
          <w:b w:val="0"/>
          <w:i w:val="0"/>
          <w:color w:val="1B5E8C"/>
          <w:sz w:val="19"/>
        </w:rPr>
        <w:t>build_docs_docx.py</w:t>
      </w:r>
      <w:r>
        <w:rPr>
          <w:b w:val="0"/>
          <w:i w:val="0"/>
          <w:sz w:val="20"/>
        </w:rPr>
        <w:t xml:space="preserve"> is a bespoke renderer rather than a pandoc invocation, because the output has to match the palette and table styling of the other Word and PowerPoint deliverables in the family.</w:t>
      </w:r>
    </w:p>
    <w:p>
      <w:pPr>
        <w:spacing w:after="120"/>
      </w:pPr>
      <w:r>
        <w:rPr>
          <w:b w:val="0"/>
          <w:i w:val="0"/>
          <w:sz w:val="20"/>
        </w:rPr>
        <w:t xml:space="preserve">Its one non-obvious behaviour: the GFM table parser accepts rows </w:t>
      </w:r>
      <w:r>
        <w:rPr>
          <w:b/>
          <w:i w:val="0"/>
          <w:sz w:val="20"/>
        </w:rPr>
        <w:t>without</w:t>
      </w:r>
      <w:r>
        <w:rPr>
          <w:b w:val="0"/>
          <w:i w:val="0"/>
          <w:sz w:val="20"/>
        </w:rPr>
        <w:t xml:space="preserve"> leading and trailing pipes. GFM does not require them and most rows in this doc set omit them. A parser that insists on them drops those rows silently, producing a shorter table and no error. The row-count check described in execution (04-execution.md#word-versions-of-the-documentation) exists solely to catch a regression in that behaviour.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Fact provenance</w:t>
      </w:r>
    </w:p>
    <w:p>
      <w:pPr>
        <w:spacing w:after="120"/>
      </w:pPr>
      <w:r>
        <w:rPr>
          <w:b w:val="0"/>
          <w:i w:val="0"/>
          <w:sz w:val="20"/>
        </w:rPr>
        <w:t>Every figure in this handbook traces to one of: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7056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Facts it establishes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INFORMATION_SCHEMA.TABLES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object inventories and row counts, both schemas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INFORMATION_SCHEMA.SCHEMATA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the 3-schema count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SHOW DYNAMIC TABLES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which objects are dynamic — 0 in L1, 11 in L2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DESCRIBE SEMANTIC VIEW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64 / 369 / 69 / 138 / 44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GET</w:t>
            </w:r>
            <w:r>
              <w:rPr>
                <w:b w:val="0"/>
                <w:sz w:val="17"/>
              </w:rPr>
              <w:t xml:space="preserve"> + YAML parse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stage model tables, dimensions, facts, measures, verified queries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DESCRIBE AGENT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tool list, orchestration, versions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api.ts</w:t>
            </w:r>
            <w:r>
              <w:rPr>
                <w:b w:val="0"/>
                <w:sz w:val="17"/>
              </w:rPr>
              <w:t xml:space="preserve">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FROM</w:t>
            </w:r>
            <w:r>
              <w:rPr>
                <w:b w:val="0"/>
                <w:sz w:val="17"/>
              </w:rPr>
              <w:t xml:space="preserve"> clauses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the 53-read census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Sidebar.tsx</w:t>
            </w:r>
            <w:r>
              <w:rPr>
                <w:b w:val="0"/>
                <w:sz w:val="17"/>
              </w:rPr>
              <w:t xml:space="preserve"> nav array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the 7 page names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Aggregate SQL over L2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pipeline, win/loss, quota, deal size, attainment, date windows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CURRENT_ACCOUNT()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CURRENT_REGION()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account and region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 xml:space="preserve">Extraction date: </w:t>
      </w:r>
      <w:r>
        <w:rPr>
          <w:b/>
          <w:i w:val="0"/>
          <w:sz w:val="20"/>
        </w:rPr>
        <w:t>2026-09-21</w:t>
      </w:r>
      <w:r>
        <w:rPr>
          <w:b w:val="0"/>
          <w:i w:val="0"/>
          <w:sz w:val="20"/>
        </w:rPr>
        <w:t>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Boundaries in one table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7056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Answerable here?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Pipeline by stage, value and count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Win rate, by count and by value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yes — both, and they differ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Deal size by outcome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Quota attainment by rep and by month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Order volume and line-item detail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yes — 558,011 orders, 735,305 lines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Product master attributes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yes — 19 facets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Customer master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yes — 3,189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Forecast versus actual, 2023–2025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Forward pipeline with a future close date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no</w:t>
            </w:r>
            <w:r>
              <w:rPr>
                <w:b w:val="0"/>
                <w:sz w:val="17"/>
              </w:rPr>
              <w:t xml:space="preserve"> — 0 of 3,201 qualify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Pricing conditions or discount approval history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 — not published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Sales organisation hierarchy above the 8-rep roster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Which SAP data products exist, as a catalog model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 — not a metadata model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Anything requiring a write back to SAP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 — read-only throughout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