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Sales 360</w:t>
      </w:r>
    </w:p>
    <w:p>
      <w:pPr>
        <w:spacing w:after="40"/>
      </w:pPr>
      <w:r>
        <w:rPr>
          <w:b/>
          <w:color w:val="1B3A57"/>
          <w:sz w:val="44"/>
        </w:rPr>
        <w:t>Analyst and agent</w:t>
      </w:r>
    </w:p>
    <w:p>
      <w:pPr>
        <w:spacing w:after="280"/>
      </w:pPr>
      <w:r>
        <w:rPr>
          <w:color w:val="5A6A7A"/>
          <w:sz w:val="19"/>
        </w:rPr>
        <w:t>Generated from docs/07-analyst-and-agent.md  ·  part 07</w:t>
      </w:r>
    </w:p>
    <w:p>
      <w:pPr>
        <w:spacing w:after="120"/>
      </w:pPr>
      <w:r>
        <w:rPr>
          <w:b w:val="0"/>
          <w:i w:val="0"/>
          <w:sz w:val="20"/>
        </w:rPr>
        <w:t>What answers a natural-language question in this stack, what it is bound to, and the work still outstanding before those answers can be trusted in front of a customer.</w:t>
      </w:r>
    </w:p>
    <w:p>
      <w:pPr>
        <w:spacing w:before="80" w:after="160"/>
        <w:jc w:val="center"/>
      </w:pPr>
      <w:r>
        <w:rPr>
          <w:color w:val="C8D4DE"/>
          <w:sz w:val="12"/>
        </w:rPr>
        <w:t>──────────────────────────────────────────────────────────</w:t>
      </w:r>
    </w:p>
    <w:p>
      <w:pPr>
        <w:keepNext/>
        <w:spacing w:before="240" w:after="60"/>
        <w:outlineLvl w:val="1"/>
      </w:pPr>
      <w:r>
        <w:rPr>
          <w:b/>
          <w:color w:val="1B3A57"/>
          <w:sz w:val="23"/>
        </w:rPr>
        <w:t>Two consumers, two different bindings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Consumer</w:t>
            </w:r>
          </w:p>
        </w:tc>
        <w:tc>
          <w:tcPr>
            <w:tcW w:type="dxa" w:w="3528"/>
            <w:shd w:val="clear" w:fill="1B3A57"/>
          </w:tcPr>
          <w:p>
            <w:pPr>
              <w:spacing w:after="20"/>
            </w:pPr>
            <w:r/>
            <w:r>
              <w:rPr>
                <w:b/>
                <w:color w:val="FFFFFF"/>
                <w:sz w:val="17"/>
              </w:rPr>
              <w:t>Reads</w:t>
            </w:r>
          </w:p>
        </w:tc>
        <w:tc>
          <w:tcPr>
            <w:tcW w:type="dxa" w:w="3528"/>
            <w:shd w:val="clear" w:fill="1B3A57"/>
          </w:tcPr>
          <w:p>
            <w:pPr>
              <w:spacing w:after="20"/>
            </w:pPr>
            <w:r/>
            <w:r>
              <w:rPr>
                <w:b/>
                <w:color w:val="FFFFFF"/>
                <w:sz w:val="17"/>
              </w:rPr>
              <w:t>Scale of what it reads</w:t>
            </w:r>
          </w:p>
        </w:tc>
      </w:tr>
      <w:tr>
        <w:trPr>
          <w:cantSplit/>
        </w:trPr>
        <w:tc>
          <w:tcPr>
            <w:tcW w:type="dxa" w:w="2880"/>
          </w:tcPr>
          <w:p>
            <w:pPr>
              <w:spacing w:after="20"/>
            </w:pPr>
            <w:r/>
            <w:r>
              <w:rPr>
                <w:b w:val="0"/>
                <w:sz w:val="17"/>
              </w:rPr>
              <w:t xml:space="preserve">Direct </w:t>
            </w:r>
            <w:r>
              <w:rPr>
                <w:rFonts w:ascii="Consolas" w:hAnsi="Consolas"/>
                <w:b w:val="0"/>
                <w:color w:val="1B5E8C"/>
                <w:sz w:val="16"/>
              </w:rPr>
              <w:t>SEMANTIC_VIEW(...)</w:t>
            </w:r>
            <w:r>
              <w:rPr>
                <w:b w:val="0"/>
                <w:sz w:val="17"/>
              </w:rPr>
              <w:t xml:space="preserve"> SQL</w:t>
            </w:r>
          </w:p>
        </w:tc>
        <w:tc>
          <w:tcPr>
            <w:tcW w:type="dxa" w:w="3528"/>
          </w:tcPr>
          <w:p>
            <w:pPr>
              <w:spacing w:after="20"/>
            </w:pPr>
            <w:r/>
            <w:r>
              <w:rPr>
                <w:rFonts w:ascii="Consolas" w:hAnsi="Consolas"/>
                <w:b w:val="0"/>
                <w:color w:val="1B5E8C"/>
                <w:sz w:val="16"/>
              </w:rPr>
              <w:t>SEMANTIC.SAP_SALES_360_ANALYTICS</w:t>
            </w:r>
          </w:p>
        </w:tc>
        <w:tc>
          <w:tcPr>
            <w:tcW w:type="dxa" w:w="3528"/>
          </w:tcPr>
          <w:p>
            <w:pPr>
              <w:spacing w:after="20"/>
            </w:pPr>
            <w:r/>
            <w:r>
              <w:rPr>
                <w:b w:val="0"/>
                <w:sz w:val="17"/>
              </w:rPr>
              <w:t>64 tables, 369 dimensions, 138 metrics</w:t>
            </w:r>
          </w:p>
        </w:tc>
      </w:tr>
      <w:tr>
        <w:trPr>
          <w:cantSplit/>
        </w:trPr>
        <w:tc>
          <w:tcPr>
            <w:tcW w:type="dxa" w:w="2880"/>
            <w:shd w:val="clear" w:fill="EEF4F8"/>
          </w:tcPr>
          <w:p>
            <w:pPr>
              <w:spacing w:after="20"/>
            </w:pPr>
            <w:r/>
            <w:r>
              <w:rPr>
                <w:rFonts w:ascii="Consolas" w:hAnsi="Consolas"/>
                <w:b w:val="0"/>
                <w:color w:val="1B5E8C"/>
                <w:sz w:val="16"/>
              </w:rPr>
              <w:t>SAP_SALES_360_AGENT</w:t>
            </w:r>
            <w:r>
              <w:rPr>
                <w:b w:val="0"/>
                <w:sz w:val="17"/>
              </w:rPr>
              <w:t xml:space="preserve"> (Snowflake Intelligence)</w:t>
            </w:r>
          </w:p>
        </w:tc>
        <w:tc>
          <w:tcPr>
            <w:tcW w:type="dxa" w:w="3528"/>
            <w:shd w:val="clear" w:fill="EEF4F8"/>
          </w:tcPr>
          <w:p>
            <w:pPr>
              <w:spacing w:after="20"/>
            </w:pPr>
            <w:r/>
            <w:r>
              <w:rPr>
                <w:b w:val="0"/>
                <w:sz w:val="17"/>
              </w:rPr>
              <w:t xml:space="preserve">the Analyst </w:t>
            </w:r>
            <w:r>
              <w:rPr>
                <w:b/>
                <w:sz w:val="17"/>
              </w:rPr>
              <w:t>stage model</w:t>
            </w:r>
          </w:p>
        </w:tc>
        <w:tc>
          <w:tcPr>
            <w:tcW w:type="dxa" w:w="3528"/>
            <w:shd w:val="clear" w:fill="EEF4F8"/>
          </w:tcPr>
          <w:p>
            <w:pPr>
              <w:spacing w:after="20"/>
            </w:pPr>
            <w:r/>
            <w:r>
              <w:rPr>
                <w:b w:val="0"/>
                <w:sz w:val="17"/>
              </w:rPr>
              <w:t>10 tables, 64 dimensions, 0 measures</w:t>
            </w:r>
          </w:p>
        </w:tc>
      </w:tr>
    </w:tbl>
    <w:p>
      <w:pPr>
        <w:spacing w:after="80"/>
      </w:pPr>
    </w:p>
    <w:p>
      <w:pPr>
        <w:spacing w:after="120"/>
      </w:pPr>
      <w:r>
        <w:rPr>
          <w:b w:val="0"/>
          <w:i w:val="0"/>
          <w:sz w:val="20"/>
        </w:rPr>
        <w:t>One data layer, two semantic descriptions of it, and the natural-language path goes through the smaller one. Everything else in this part follows from that.</w:t>
      </w:r>
    </w:p>
    <w:p>
      <w:pPr>
        <w:spacing w:before="80" w:after="160"/>
        <w:jc w:val="center"/>
      </w:pPr>
      <w:r>
        <w:rPr>
          <w:color w:val="C8D4DE"/>
          <w:sz w:val="12"/>
        </w:rPr>
        <w:t>──────────────────────────────────────────────────────────</w:t>
      </w:r>
    </w:p>
    <w:p>
      <w:pPr>
        <w:keepNext/>
        <w:spacing w:before="240" w:after="60"/>
        <w:outlineLvl w:val="1"/>
      </w:pPr>
      <w:r>
        <w:rPr>
          <w:b/>
          <w:color w:val="1B3A57"/>
          <w:sz w:val="23"/>
        </w:rPr>
        <w:t>The agent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Name</w:t>
            </w:r>
          </w:p>
        </w:tc>
        <w:tc>
          <w:tcPr>
            <w:tcW w:type="dxa" w:w="7056"/>
          </w:tcPr>
          <w:p>
            <w:pPr>
              <w:spacing w:after="20"/>
            </w:pPr>
            <w:r/>
            <w:r>
              <w:rPr>
                <w:rFonts w:ascii="Consolas" w:hAnsi="Consolas"/>
                <w:b w:val="0"/>
                <w:color w:val="1B5E8C"/>
                <w:sz w:val="16"/>
              </w:rPr>
              <w:t>SAP_SALES_360.SEMANTIC.SAP_SALES_360_AGENT</w:t>
            </w:r>
          </w:p>
        </w:tc>
      </w:tr>
      <w:tr>
        <w:trPr>
          <w:cantSplit/>
        </w:trPr>
        <w:tc>
          <w:tcPr>
            <w:tcW w:type="dxa" w:w="2880"/>
            <w:shd w:val="clear" w:fill="EEF4F8"/>
          </w:tcPr>
          <w:p>
            <w:pPr>
              <w:spacing w:after="20"/>
            </w:pPr>
            <w:r/>
            <w:r>
              <w:rPr>
                <w:b w:val="0"/>
                <w:sz w:val="17"/>
              </w:rPr>
              <w:t>Comment</w:t>
            </w:r>
          </w:p>
        </w:tc>
        <w:tc>
          <w:tcPr>
            <w:tcW w:type="dxa" w:w="7056"/>
            <w:shd w:val="clear" w:fill="EEF4F8"/>
          </w:tcPr>
          <w:p>
            <w:pPr>
              <w:spacing w:after="20"/>
            </w:pPr>
            <w:r/>
            <w:r>
              <w:rPr>
                <w:b w:val="0"/>
                <w:sz w:val="17"/>
              </w:rPr>
              <w:t>Sales Analytics Agent for SAP Sales 360 Dynamic Tables</w:t>
            </w:r>
          </w:p>
        </w:tc>
      </w:tr>
      <w:tr>
        <w:trPr>
          <w:cantSplit/>
        </w:trPr>
        <w:tc>
          <w:tcPr>
            <w:tcW w:type="dxa" w:w="2880"/>
          </w:tcPr>
          <w:p>
            <w:pPr>
              <w:spacing w:after="20"/>
            </w:pPr>
            <w:r/>
            <w:r>
              <w:rPr>
                <w:b w:val="0"/>
                <w:sz w:val="17"/>
              </w:rPr>
              <w:t>Versions</w:t>
            </w:r>
          </w:p>
        </w:tc>
        <w:tc>
          <w:tcPr>
            <w:tcW w:type="dxa" w:w="7056"/>
          </w:tcPr>
          <w:p>
            <w:pPr>
              <w:spacing w:after="20"/>
            </w:pPr>
            <w:r/>
            <w:r>
              <w:rPr>
                <w:rFonts w:ascii="Consolas" w:hAnsi="Consolas"/>
                <w:b w:val="0"/>
                <w:color w:val="1B5E8C"/>
                <w:sz w:val="16"/>
              </w:rPr>
              <w:t>VERSION$1</w:t>
            </w:r>
          </w:p>
        </w:tc>
      </w:tr>
      <w:tr>
        <w:trPr>
          <w:cantSplit/>
        </w:trPr>
        <w:tc>
          <w:tcPr>
            <w:tcW w:type="dxa" w:w="2880"/>
            <w:shd w:val="clear" w:fill="EEF4F8"/>
          </w:tcPr>
          <w:p>
            <w:pPr>
              <w:spacing w:after="20"/>
            </w:pPr>
            <w:r/>
            <w:r>
              <w:rPr>
                <w:b w:val="0"/>
                <w:sz w:val="17"/>
              </w:rPr>
              <w:t>Default version</w:t>
            </w:r>
          </w:p>
        </w:tc>
        <w:tc>
          <w:tcPr>
            <w:tcW w:type="dxa" w:w="7056"/>
            <w:shd w:val="clear" w:fill="EEF4F8"/>
          </w:tcPr>
          <w:p>
            <w:pPr>
              <w:spacing w:after="20"/>
            </w:pPr>
            <w:r/>
            <w:r>
              <w:rPr>
                <w:rFonts w:ascii="Consolas" w:hAnsi="Consolas"/>
                <w:b w:val="0"/>
                <w:color w:val="1B5E8C"/>
                <w:sz w:val="16"/>
              </w:rPr>
              <w:t>LAST</w:t>
            </w:r>
          </w:p>
        </w:tc>
      </w:tr>
      <w:tr>
        <w:trPr>
          <w:cantSplit/>
        </w:trPr>
        <w:tc>
          <w:tcPr>
            <w:tcW w:type="dxa" w:w="2880"/>
          </w:tcPr>
          <w:p>
            <w:pPr>
              <w:spacing w:after="20"/>
            </w:pPr>
            <w:r/>
            <w:r>
              <w:rPr>
                <w:b w:val="0"/>
                <w:sz w:val="17"/>
              </w:rPr>
              <w:t>Orchestration</w:t>
            </w:r>
          </w:p>
        </w:tc>
        <w:tc>
          <w:tcPr>
            <w:tcW w:type="dxa" w:w="7056"/>
          </w:tcPr>
          <w:p>
            <w:pPr>
              <w:spacing w:after="20"/>
            </w:pPr>
            <w:r/>
            <w:r>
              <w:rPr>
                <w:rFonts w:ascii="Consolas" w:hAnsi="Consolas"/>
                <w:b w:val="0"/>
                <w:color w:val="1B5E8C"/>
                <w:sz w:val="16"/>
              </w:rPr>
              <w:t>auto</w:t>
            </w:r>
          </w:p>
        </w:tc>
      </w:tr>
      <w:tr>
        <w:trPr>
          <w:cantSplit/>
        </w:trPr>
        <w:tc>
          <w:tcPr>
            <w:tcW w:type="dxa" w:w="2880"/>
            <w:shd w:val="clear" w:fill="EEF4F8"/>
          </w:tcPr>
          <w:p>
            <w:pPr>
              <w:spacing w:after="20"/>
            </w:pPr>
            <w:r/>
            <w:r>
              <w:rPr>
                <w:b w:val="0"/>
                <w:sz w:val="17"/>
              </w:rPr>
              <w:t>Tools</w:t>
            </w:r>
          </w:p>
        </w:tc>
        <w:tc>
          <w:tcPr>
            <w:tcW w:type="dxa" w:w="7056"/>
            <w:shd w:val="clear" w:fill="EEF4F8"/>
          </w:tcPr>
          <w:p>
            <w:pPr>
              <w:spacing w:after="20"/>
            </w:pPr>
            <w:r/>
            <w:r>
              <w:rPr>
                <w:b/>
                <w:sz w:val="17"/>
              </w:rPr>
              <w:t>1</w:t>
            </w:r>
            <w:r>
              <w:rPr>
                <w:b w:val="0"/>
                <w:sz w:val="17"/>
              </w:rPr>
              <w:t xml:space="preserve"> — </w:t>
            </w:r>
            <w:r>
              <w:rPr>
                <w:rFonts w:ascii="Consolas" w:hAnsi="Consolas"/>
                <w:b w:val="0"/>
                <w:color w:val="1B5E8C"/>
                <w:sz w:val="16"/>
              </w:rPr>
              <w:t>cortex_analyst_text_to_sql</w:t>
            </w:r>
          </w:p>
        </w:tc>
      </w:tr>
    </w:tbl>
    <w:p>
      <w:pPr>
        <w:spacing w:after="80"/>
      </w:pPr>
    </w:p>
    <w:p>
      <w:pPr>
        <w:spacing w:after="120"/>
      </w:pPr>
      <w:r>
        <w:rPr>
          <w:b w:val="0"/>
          <w:i w:val="0"/>
          <w:sz w:val="20"/>
        </w:rPr>
        <w:t xml:space="preserve">One tool is the simplest agent configuration there is, and it has a clear consequence: </w:t>
      </w:r>
      <w:r>
        <w:rPr>
          <w:b/>
          <w:i w:val="0"/>
          <w:sz w:val="20"/>
        </w:rPr>
        <w:t>every question becomes text-to-SQL against the stage model.</w:t>
      </w:r>
      <w:r>
        <w:rPr>
          <w:b w:val="0"/>
          <w:i w:val="0"/>
          <w:sz w:val="20"/>
        </w:rPr>
        <w:t xml:space="preserve"> There is no routing decision to get wrong, and equally no fallback.</w:t>
      </w:r>
    </w:p>
    <w:p>
      <w:pPr>
        <w:spacing w:after="120"/>
      </w:pPr>
      <w:r>
        <w:rPr>
          <w:b w:val="0"/>
          <w:i w:val="0"/>
          <w:sz w:val="20"/>
        </w:rPr>
        <w:t>What that configuration cannot do:</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Capability</w:t>
            </w:r>
          </w:p>
        </w:tc>
        <w:tc>
          <w:tcPr>
            <w:tcW w:type="dxa" w:w="3528"/>
            <w:shd w:val="clear" w:fill="1B3A57"/>
          </w:tcPr>
          <w:p>
            <w:pPr>
              <w:spacing w:after="20"/>
            </w:pPr>
            <w:r/>
            <w:r>
              <w:rPr>
                <w:b/>
                <w:color w:val="FFFFFF"/>
                <w:sz w:val="17"/>
              </w:rPr>
              <w:t>Present?</w:t>
            </w:r>
          </w:p>
        </w:tc>
        <w:tc>
          <w:tcPr>
            <w:tcW w:type="dxa" w:w="3528"/>
            <w:shd w:val="clear" w:fill="1B3A57"/>
          </w:tcPr>
          <w:p>
            <w:pPr>
              <w:spacing w:after="20"/>
            </w:pPr>
            <w:r/>
            <w:r>
              <w:rPr>
                <w:b/>
                <w:color w:val="FFFFFF"/>
                <w:sz w:val="17"/>
              </w:rPr>
              <w:t>Because</w:t>
            </w:r>
          </w:p>
        </w:tc>
      </w:tr>
      <w:tr>
        <w:trPr>
          <w:cantSplit/>
        </w:trPr>
        <w:tc>
          <w:tcPr>
            <w:tcW w:type="dxa" w:w="2880"/>
          </w:tcPr>
          <w:p>
            <w:pPr>
              <w:spacing w:after="20"/>
            </w:pPr>
            <w:r/>
            <w:r>
              <w:rPr>
                <w:b w:val="0"/>
                <w:sz w:val="17"/>
              </w:rPr>
              <w:t>Answer from unstructured content or documentation</w:t>
            </w:r>
          </w:p>
        </w:tc>
        <w:tc>
          <w:tcPr>
            <w:tcW w:type="dxa" w:w="3528"/>
          </w:tcPr>
          <w:p>
            <w:pPr>
              <w:spacing w:after="20"/>
            </w:pPr>
            <w:r/>
            <w:r>
              <w:rPr>
                <w:b w:val="0"/>
                <w:sz w:val="17"/>
              </w:rPr>
              <w:t>no</w:t>
            </w:r>
          </w:p>
        </w:tc>
        <w:tc>
          <w:tcPr>
            <w:tcW w:type="dxa" w:w="3528"/>
          </w:tcPr>
          <w:p>
            <w:pPr>
              <w:spacing w:after="20"/>
            </w:pPr>
            <w:r/>
            <w:r>
              <w:rPr>
                <w:b w:val="0"/>
                <w:sz w:val="17"/>
              </w:rPr>
              <w:t>no Cortex Search tool</w:t>
            </w:r>
          </w:p>
        </w:tc>
      </w:tr>
      <w:tr>
        <w:trPr>
          <w:cantSplit/>
        </w:trPr>
        <w:tc>
          <w:tcPr>
            <w:tcW w:type="dxa" w:w="2880"/>
            <w:shd w:val="clear" w:fill="EEF4F8"/>
          </w:tcPr>
          <w:p>
            <w:pPr>
              <w:spacing w:after="20"/>
            </w:pPr>
            <w:r/>
            <w:r>
              <w:rPr>
                <w:b w:val="0"/>
                <w:sz w:val="17"/>
              </w:rPr>
              <w:t>Call an external system</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no custom tool</w:t>
            </w:r>
          </w:p>
        </w:tc>
      </w:tr>
      <w:tr>
        <w:trPr>
          <w:cantSplit/>
        </w:trPr>
        <w:tc>
          <w:tcPr>
            <w:tcW w:type="dxa" w:w="2880"/>
          </w:tcPr>
          <w:p>
            <w:pPr>
              <w:spacing w:after="20"/>
            </w:pPr>
            <w:r/>
            <w:r>
              <w:rPr>
                <w:b w:val="0"/>
                <w:sz w:val="17"/>
              </w:rPr>
              <w:t>Answer from the 138 semantic-view metrics</w:t>
            </w:r>
          </w:p>
        </w:tc>
        <w:tc>
          <w:tcPr>
            <w:tcW w:type="dxa" w:w="3528"/>
          </w:tcPr>
          <w:p>
            <w:pPr>
              <w:spacing w:after="20"/>
            </w:pPr>
            <w:r/>
            <w:r>
              <w:rPr>
                <w:b w:val="0"/>
                <w:sz w:val="17"/>
              </w:rPr>
              <w:t>no</w:t>
            </w:r>
          </w:p>
        </w:tc>
        <w:tc>
          <w:tcPr>
            <w:tcW w:type="dxa" w:w="3528"/>
          </w:tcPr>
          <w:p>
            <w:pPr>
              <w:spacing w:after="20"/>
            </w:pPr>
            <w:r/>
            <w:r>
              <w:rPr>
                <w:b w:val="0"/>
                <w:sz w:val="17"/>
              </w:rPr>
              <w:t>the tool binds to the stage model</w:t>
            </w:r>
          </w:p>
        </w:tc>
      </w:tr>
      <w:tr>
        <w:trPr>
          <w:cantSplit/>
        </w:trPr>
        <w:tc>
          <w:tcPr>
            <w:tcW w:type="dxa" w:w="2880"/>
            <w:shd w:val="clear" w:fill="EEF4F8"/>
          </w:tcPr>
          <w:p>
            <w:pPr>
              <w:spacing w:after="20"/>
            </w:pPr>
            <w:r/>
            <w:r>
              <w:rPr>
                <w:b w:val="0"/>
                <w:sz w:val="17"/>
              </w:rPr>
              <w:t>Answer about a table outside the model's 10</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nothing to land on</w:t>
            </w:r>
          </w:p>
        </w:tc>
      </w:tr>
    </w:tbl>
    <w:p>
      <w:pPr>
        <w:spacing w:after="80"/>
      </w:pPr>
    </w:p>
    <w:p>
      <w:pPr>
        <w:spacing w:after="120"/>
      </w:pPr>
      <w:r>
        <w:rPr>
          <w:rFonts w:ascii="Consolas" w:hAnsi="Consolas"/>
          <w:b w:val="0"/>
          <w:i w:val="0"/>
          <w:color w:val="1B5E8C"/>
          <w:sz w:val="19"/>
        </w:rPr>
        <w:t>auto</w:t>
      </w:r>
      <w:r>
        <w:rPr>
          <w:b w:val="0"/>
          <w:i w:val="0"/>
          <w:sz w:val="20"/>
        </w:rPr>
        <w:t xml:space="preserve"> orchestration with a single tool means the orchestration setting is effectively inert today. It matters the moment a second tool is added — and adding a Cortex Search tool over this handbook would be the natural second one, because several of the questions a customer will ask are documentation questions, not data questions: </w:t>
      </w:r>
      <w:r>
        <w:rPr>
          <w:b w:val="0"/>
          <w:i w:val="0"/>
          <w:sz w:val="20"/>
        </w:rPr>
        <w:t>why is the pipeline past due</w:t>
      </w:r>
      <w:r>
        <w:rPr>
          <w:b w:val="0"/>
          <w:i w:val="0"/>
          <w:sz w:val="20"/>
        </w:rPr>
        <w:t xml:space="preserve">, </w:t>
      </w:r>
      <w:r>
        <w:rPr>
          <w:b w:val="0"/>
          <w:i w:val="0"/>
          <w:sz w:val="20"/>
        </w:rPr>
        <w:t>what does win rate mean here</w:t>
      </w:r>
      <w:r>
        <w:rPr>
          <w:b w:val="0"/>
          <w:i w:val="0"/>
          <w:sz w:val="20"/>
        </w:rPr>
        <w:t>.</w:t>
      </w:r>
    </w:p>
    <w:p>
      <w:pPr>
        <w:spacing w:before="80" w:after="160"/>
        <w:jc w:val="center"/>
      </w:pPr>
      <w:r>
        <w:rPr>
          <w:color w:val="C8D4DE"/>
          <w:sz w:val="12"/>
        </w:rPr>
        <w:t>──────────────────────────────────────────────────────────</w:t>
      </w:r>
    </w:p>
    <w:p>
      <w:pPr>
        <w:keepNext/>
        <w:spacing w:before="240" w:after="60"/>
        <w:outlineLvl w:val="1"/>
      </w:pPr>
      <w:r>
        <w:rPr>
          <w:b/>
          <w:color w:val="1B3A57"/>
          <w:sz w:val="23"/>
        </w:rPr>
        <w:t>The stage model</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@SAP_SALES_360.SEMANTIC.SEMANTIC_STAGE/sap_sales_360_semantic.yaml</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SAP_SALES_360_ANALYTICS</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10</w:t>
            </w:r>
          </w:p>
        </w:tc>
      </w:tr>
      <w:tr>
        <w:trPr>
          <w:cantSplit/>
        </w:trPr>
        <w:tc>
          <w:tcPr>
            <w:tcW w:type="dxa" w:w="2880"/>
          </w:tcPr>
          <w:p>
            <w:pPr>
              <w:spacing w:after="20"/>
            </w:pPr>
            <w:r/>
            <w:r>
              <w:rPr>
                <w:b w:val="0"/>
                <w:sz w:val="17"/>
              </w:rPr>
              <w:t>Dimensions</w:t>
            </w:r>
          </w:p>
        </w:tc>
        <w:tc>
          <w:tcPr>
            <w:tcW w:type="dxa" w:w="7056"/>
          </w:tcPr>
          <w:p>
            <w:pPr>
              <w:spacing w:after="20"/>
            </w:pPr>
            <w:r/>
            <w:r>
              <w:rPr>
                <w:b w:val="0"/>
                <w:sz w:val="17"/>
              </w:rPr>
              <w:t>64</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9</w:t>
            </w:r>
          </w:p>
        </w:tc>
      </w:tr>
      <w:tr>
        <w:trPr>
          <w:cantSplit/>
        </w:trPr>
        <w:tc>
          <w:tcPr>
            <w:tcW w:type="dxa" w:w="2880"/>
          </w:tcPr>
          <w:p>
            <w:pPr>
              <w:spacing w:after="20"/>
            </w:pPr>
            <w:r/>
            <w:r>
              <w:rPr>
                <w:b/>
                <w:sz w:val="17"/>
              </w:rPr>
              <w:t>Measures</w:t>
            </w:r>
          </w:p>
        </w:tc>
        <w:tc>
          <w:tcPr>
            <w:tcW w:type="dxa" w:w="7056"/>
          </w:tcPr>
          <w:p>
            <w:pPr>
              <w:spacing w:after="20"/>
            </w:pPr>
            <w:r/>
            <w:r>
              <w:rPr>
                <w:b/>
                <w:sz w:val="17"/>
              </w:rPr>
              <w:t>0</w:t>
            </w:r>
          </w:p>
        </w:tc>
      </w:tr>
      <w:tr>
        <w:trPr>
          <w:cantSplit/>
        </w:trPr>
        <w:tc>
          <w:tcPr>
            <w:tcW w:type="dxa" w:w="2880"/>
            <w:shd w:val="clear" w:fill="EEF4F8"/>
          </w:tcPr>
          <w:p>
            <w:pPr>
              <w:spacing w:after="20"/>
            </w:pPr>
            <w:r/>
            <w:r>
              <w:rPr>
                <w:b/>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The ten base tables: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Model table</w:t>
            </w:r>
          </w:p>
        </w:tc>
        <w:tc>
          <w:tcPr>
            <w:tcW w:type="dxa" w:w="7056"/>
            <w:shd w:val="clear" w:fill="1B3A57"/>
          </w:tcPr>
          <w:p>
            <w:pPr>
              <w:spacing w:after="20"/>
            </w:pPr>
            <w:r/>
            <w:r>
              <w:rPr>
                <w:b/>
                <w:color w:val="FFFFFF"/>
                <w:sz w:val="17"/>
              </w:rPr>
              <w:t>Corresponds to</w:t>
            </w:r>
          </w:p>
        </w:tc>
      </w:tr>
      <w:tr>
        <w:trPr>
          <w:cantSplit/>
        </w:trPr>
        <w:tc>
          <w:tcPr>
            <w:tcW w:type="dxa" w:w="2880"/>
          </w:tcPr>
          <w:p>
            <w:pPr>
              <w:spacing w:after="20"/>
            </w:pPr>
            <w:r/>
            <w:r>
              <w:rPr>
                <w:rFonts w:ascii="Consolas" w:hAnsi="Consolas"/>
                <w:b w:val="0"/>
                <w:color w:val="1B5E8C"/>
                <w:sz w:val="16"/>
              </w:rPr>
              <w:t>SALESORDER</w:t>
            </w:r>
          </w:p>
        </w:tc>
        <w:tc>
          <w:tcPr>
            <w:tcW w:type="dxa" w:w="7056"/>
          </w:tcPr>
          <w:p>
            <w:pPr>
              <w:spacing w:after="20"/>
            </w:pPr>
            <w:r/>
            <w:r>
              <w:rPr>
                <w:b w:val="0"/>
                <w:sz w:val="17"/>
              </w:rPr>
              <w:t>order header, 558,011 rows</w:t>
            </w:r>
          </w:p>
        </w:tc>
      </w:tr>
      <w:tr>
        <w:trPr>
          <w:cantSplit/>
        </w:trPr>
        <w:tc>
          <w:tcPr>
            <w:tcW w:type="dxa" w:w="2880"/>
            <w:shd w:val="clear" w:fill="EEF4F8"/>
          </w:tcPr>
          <w:p>
            <w:pPr>
              <w:spacing w:after="20"/>
            </w:pPr>
            <w:r/>
            <w:r>
              <w:rPr>
                <w:rFonts w:ascii="Consolas" w:hAnsi="Consolas"/>
                <w:b w:val="0"/>
                <w:color w:val="1B5E8C"/>
                <w:sz w:val="16"/>
              </w:rPr>
              <w:t>SALESORDERITEM</w:t>
            </w:r>
          </w:p>
        </w:tc>
        <w:tc>
          <w:tcPr>
            <w:tcW w:type="dxa" w:w="7056"/>
            <w:shd w:val="clear" w:fill="EEF4F8"/>
          </w:tcPr>
          <w:p>
            <w:pPr>
              <w:spacing w:after="20"/>
            </w:pPr>
            <w:r/>
            <w:r>
              <w:rPr>
                <w:b w:val="0"/>
                <w:sz w:val="17"/>
              </w:rPr>
              <w:t>order line, 735,305 rows</w:t>
            </w:r>
          </w:p>
        </w:tc>
      </w:tr>
      <w:tr>
        <w:trPr>
          <w:cantSplit/>
        </w:trPr>
        <w:tc>
          <w:tcPr>
            <w:tcW w:type="dxa" w:w="2880"/>
          </w:tcPr>
          <w:p>
            <w:pPr>
              <w:spacing w:after="20"/>
            </w:pPr>
            <w:r/>
            <w:r>
              <w:rPr>
                <w:rFonts w:ascii="Consolas" w:hAnsi="Consolas"/>
                <w:b w:val="0"/>
                <w:color w:val="1B5E8C"/>
                <w:sz w:val="16"/>
              </w:rPr>
              <w:t>CUSTOMER</w:t>
            </w:r>
          </w:p>
        </w:tc>
        <w:tc>
          <w:tcPr>
            <w:tcW w:type="dxa" w:w="7056"/>
          </w:tcPr>
          <w:p>
            <w:pPr>
              <w:spacing w:after="20"/>
            </w:pPr>
            <w:r/>
            <w:r>
              <w:rPr>
                <w:b w:val="0"/>
                <w:sz w:val="17"/>
              </w:rPr>
              <w:t>3,189 customers</w:t>
            </w:r>
          </w:p>
        </w:tc>
      </w:tr>
      <w:tr>
        <w:trPr>
          <w:cantSplit/>
        </w:trPr>
        <w:tc>
          <w:tcPr>
            <w:tcW w:type="dxa" w:w="2880"/>
            <w:shd w:val="clear" w:fill="EEF4F8"/>
          </w:tcPr>
          <w:p>
            <w:pPr>
              <w:spacing w:after="20"/>
            </w:pPr>
            <w:r/>
            <w:r>
              <w:rPr>
                <w:rFonts w:ascii="Consolas" w:hAnsi="Consolas"/>
                <w:b w:val="0"/>
                <w:color w:val="1B5E8C"/>
                <w:sz w:val="16"/>
              </w:rPr>
              <w:t>PRODUCT</w:t>
            </w:r>
          </w:p>
        </w:tc>
        <w:tc>
          <w:tcPr>
            <w:tcW w:type="dxa" w:w="7056"/>
            <w:shd w:val="clear" w:fill="EEF4F8"/>
          </w:tcPr>
          <w:p>
            <w:pPr>
              <w:spacing w:after="20"/>
            </w:pPr>
            <w:r/>
            <w:r>
              <w:rPr>
                <w:b w:val="0"/>
                <w:sz w:val="17"/>
              </w:rPr>
              <w:t>16,337 products</w:t>
            </w:r>
          </w:p>
        </w:tc>
      </w:tr>
      <w:tr>
        <w:trPr>
          <w:cantSplit/>
        </w:trPr>
        <w:tc>
          <w:tcPr>
            <w:tcW w:type="dxa" w:w="2880"/>
          </w:tcPr>
          <w:p>
            <w:pPr>
              <w:spacing w:after="20"/>
            </w:pPr>
            <w:r/>
            <w:r>
              <w:rPr>
                <w:rFonts w:ascii="Consolas" w:hAnsi="Consolas"/>
                <w:b w:val="0"/>
                <w:color w:val="1B5E8C"/>
                <w:sz w:val="16"/>
              </w:rPr>
              <w:t>PRODUCT_DESCRIPTION</w:t>
            </w:r>
          </w:p>
        </w:tc>
        <w:tc>
          <w:tcPr>
            <w:tcW w:type="dxa" w:w="7056"/>
          </w:tcPr>
          <w:p>
            <w:pPr>
              <w:spacing w:after="20"/>
            </w:pPr>
            <w:r/>
            <w:r>
              <w:rPr>
                <w:b w:val="0"/>
                <w:sz w:val="17"/>
              </w:rPr>
              <w:t>73,242 rows</w:t>
            </w:r>
          </w:p>
        </w:tc>
      </w:tr>
      <w:tr>
        <w:trPr>
          <w:cantSplit/>
        </w:trPr>
        <w:tc>
          <w:tcPr>
            <w:tcW w:type="dxa" w:w="2880"/>
            <w:shd w:val="clear" w:fill="EEF4F8"/>
          </w:tcPr>
          <w:p>
            <w:pPr>
              <w:spacing w:after="20"/>
            </w:pPr>
            <w:r/>
            <w:r>
              <w:rPr>
                <w:rFonts w:ascii="Consolas" w:hAnsi="Consolas"/>
                <w:b w:val="0"/>
                <w:color w:val="1B5E8C"/>
                <w:sz w:val="16"/>
              </w:rPr>
              <w:t>PRODUCT_GROUP</w:t>
            </w:r>
          </w:p>
        </w:tc>
        <w:tc>
          <w:tcPr>
            <w:tcW w:type="dxa" w:w="7056"/>
            <w:shd w:val="clear" w:fill="EEF4F8"/>
          </w:tcPr>
          <w:p>
            <w:pPr>
              <w:spacing w:after="20"/>
            </w:pPr>
            <w:r/>
            <w:r>
              <w:rPr>
                <w:b w:val="0"/>
                <w:sz w:val="17"/>
              </w:rPr>
              <w:t>1,023 groups</w:t>
            </w:r>
          </w:p>
        </w:tc>
      </w:tr>
      <w:tr>
        <w:trPr>
          <w:cantSplit/>
        </w:trPr>
        <w:tc>
          <w:tcPr>
            <w:tcW w:type="dxa" w:w="2880"/>
          </w:tcPr>
          <w:p>
            <w:pPr>
              <w:spacing w:after="20"/>
            </w:pPr>
            <w:r/>
            <w:r>
              <w:rPr>
                <w:rFonts w:ascii="Consolas" w:hAnsi="Consolas"/>
                <w:b w:val="0"/>
                <w:color w:val="1B5E8C"/>
                <w:sz w:val="16"/>
              </w:rPr>
              <w:t>PRODUCT_GROUP_TEXT</w:t>
            </w:r>
          </w:p>
        </w:tc>
        <w:tc>
          <w:tcPr>
            <w:tcW w:type="dxa" w:w="7056"/>
          </w:tcPr>
          <w:p>
            <w:pPr>
              <w:spacing w:after="20"/>
            </w:pPr>
            <w:r/>
            <w:r>
              <w:rPr>
                <w:b w:val="0"/>
                <w:sz w:val="17"/>
              </w:rPr>
              <w:t>11,168 rows</w:t>
            </w:r>
          </w:p>
        </w:tc>
      </w:tr>
      <w:tr>
        <w:trPr>
          <w:cantSplit/>
        </w:trPr>
        <w:tc>
          <w:tcPr>
            <w:tcW w:type="dxa" w:w="2880"/>
            <w:shd w:val="clear" w:fill="EEF4F8"/>
          </w:tcPr>
          <w:p>
            <w:pPr>
              <w:spacing w:after="20"/>
            </w:pPr>
            <w:r/>
            <w:r>
              <w:rPr>
                <w:rFonts w:ascii="Consolas" w:hAnsi="Consolas"/>
                <w:b w:val="0"/>
                <w:color w:val="1B5E8C"/>
                <w:sz w:val="16"/>
              </w:rPr>
              <w:t>SFDC_OPPORTUNITY</w:t>
            </w:r>
          </w:p>
        </w:tc>
        <w:tc>
          <w:tcPr>
            <w:tcW w:type="dxa" w:w="7056"/>
            <w:shd w:val="clear" w:fill="EEF4F8"/>
          </w:tcPr>
          <w:p>
            <w:pPr>
              <w:spacing w:after="20"/>
            </w:pPr>
            <w:r/>
            <w:r>
              <w:rPr>
                <w:b w:val="0"/>
                <w:sz w:val="17"/>
              </w:rPr>
              <w:t>3,774 opportunities</w:t>
            </w:r>
          </w:p>
        </w:tc>
      </w:tr>
      <w:tr>
        <w:trPr>
          <w:cantSplit/>
        </w:trPr>
        <w:tc>
          <w:tcPr>
            <w:tcW w:type="dxa" w:w="2880"/>
          </w:tcPr>
          <w:p>
            <w:pPr>
              <w:spacing w:after="20"/>
            </w:pPr>
            <w:r/>
            <w:r>
              <w:rPr>
                <w:rFonts w:ascii="Consolas" w:hAnsi="Consolas"/>
                <w:b w:val="0"/>
                <w:color w:val="1B5E8C"/>
                <w:sz w:val="16"/>
              </w:rPr>
              <w:t>ACTIVITY</w:t>
            </w:r>
          </w:p>
        </w:tc>
        <w:tc>
          <w:tcPr>
            <w:tcW w:type="dxa" w:w="7056"/>
          </w:tcPr>
          <w:p>
            <w:pPr>
              <w:spacing w:after="20"/>
            </w:pPr>
            <w:r/>
            <w:r>
              <w:rPr>
                <w:b w:val="0"/>
                <w:sz w:val="17"/>
              </w:rPr>
              <w:t>35,313 activities</w:t>
            </w:r>
          </w:p>
        </w:tc>
      </w:tr>
      <w:tr>
        <w:trPr>
          <w:cantSplit/>
        </w:trPr>
        <w:tc>
          <w:tcPr>
            <w:tcW w:type="dxa" w:w="2880"/>
            <w:shd w:val="clear" w:fill="EEF4F8"/>
          </w:tcPr>
          <w:p>
            <w:pPr>
              <w:spacing w:after="20"/>
            </w:pPr>
            <w:r/>
            <w:r>
              <w:rPr>
                <w:rFonts w:ascii="Consolas" w:hAnsi="Consolas"/>
                <w:b w:val="0"/>
                <w:color w:val="1B5E8C"/>
                <w:sz w:val="16"/>
              </w:rPr>
              <w:t>SALES_REP</w:t>
            </w:r>
          </w:p>
        </w:tc>
        <w:tc>
          <w:tcPr>
            <w:tcW w:type="dxa" w:w="7056"/>
            <w:shd w:val="clear" w:fill="EEF4F8"/>
          </w:tcPr>
          <w:p>
            <w:pPr>
              <w:spacing w:after="20"/>
            </w:pPr>
            <w:r/>
            <w:r>
              <w:rPr>
                <w:b w:val="0"/>
                <w:sz w:val="17"/>
              </w:rPr>
              <w:t>8 reps</w:t>
            </w:r>
          </w:p>
        </w:tc>
      </w:tr>
    </w:tbl>
    <w:p>
      <w:pPr>
        <w:spacing w:after="80"/>
      </w:pPr>
    </w:p>
    <w:p>
      <w:pPr>
        <w:spacing w:after="120"/>
      </w:pPr>
      <w:r>
        <w:rPr>
          <w:b w:val="0"/>
          <w:i w:val="0"/>
          <w:sz w:val="20"/>
        </w:rPr>
        <w:t>This is a well-chosen ten. It is the commercial core — orders, lines, customers, products, opportunities, activities, reps — and it covers every question a sales audience is likely to ask. The selection is not the problem.</w:t>
      </w:r>
    </w:p>
    <w:p>
      <w:pPr>
        <w:keepNext/>
        <w:spacing w:before="160" w:after="40"/>
        <w:outlineLvl w:val="2"/>
      </w:pPr>
      <w:r>
        <w:rPr>
          <w:b/>
          <w:color w:val="29B5E8"/>
          <w:sz w:val="20"/>
        </w:rPr>
        <w:t>What is outside the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Not modelled</w:t>
            </w:r>
          </w:p>
        </w:tc>
        <w:tc>
          <w:tcPr>
            <w:tcW w:type="dxa" w:w="7056"/>
            <w:shd w:val="clear" w:fill="1B3A57"/>
          </w:tcPr>
          <w:p>
            <w:pPr>
              <w:spacing w:after="20"/>
            </w:pPr>
            <w:r/>
            <w:r>
              <w:rPr>
                <w:b/>
                <w:color w:val="FFFFFF"/>
                <w:sz w:val="17"/>
              </w:rPr>
              <w:t>Consequence</w:t>
            </w:r>
          </w:p>
        </w:tc>
      </w:tr>
      <w:tr>
        <w:trPr>
          <w:cantSplit/>
        </w:trPr>
        <w:tc>
          <w:tcPr>
            <w:tcW w:type="dxa" w:w="2880"/>
          </w:tcPr>
          <w:p>
            <w:pPr>
              <w:spacing w:after="20"/>
            </w:pPr>
            <w:r/>
            <w:r>
              <w:rPr>
                <w:rFonts w:ascii="Consolas" w:hAnsi="Consolas"/>
                <w:b w:val="0"/>
                <w:color w:val="1B5E8C"/>
                <w:sz w:val="16"/>
              </w:rPr>
              <w:t>SALES_FORECAST_VS_ACTUAL</w:t>
            </w:r>
            <w:r>
              <w:rPr>
                <w:b w:val="0"/>
                <w:sz w:val="17"/>
              </w:rPr>
              <w:t xml:space="preserve"> (41,100 rows)</w:t>
            </w:r>
          </w:p>
        </w:tc>
        <w:tc>
          <w:tcPr>
            <w:tcW w:type="dxa" w:w="7056"/>
          </w:tcPr>
          <w:p>
            <w:pPr>
              <w:spacing w:after="20"/>
            </w:pPr>
            <w:r/>
            <w:r>
              <w:rPr>
                <w:b w:val="0"/>
                <w:sz w:val="17"/>
              </w:rPr>
              <w:t>no natural-language question about forecast attainment can land</w:t>
            </w:r>
          </w:p>
        </w:tc>
      </w:tr>
      <w:tr>
        <w:trPr>
          <w:cantSplit/>
        </w:trPr>
        <w:tc>
          <w:tcPr>
            <w:tcW w:type="dxa" w:w="2880"/>
            <w:shd w:val="clear" w:fill="EEF4F8"/>
          </w:tcPr>
          <w:p>
            <w:pPr>
              <w:spacing w:after="20"/>
            </w:pPr>
            <w:r/>
            <w:r>
              <w:rPr>
                <w:rFonts w:ascii="Consolas" w:hAnsi="Consolas"/>
                <w:b w:val="0"/>
                <w:color w:val="1B5E8C"/>
                <w:sz w:val="16"/>
              </w:rPr>
              <w:t>ATTAINMENT_PREDICTIONS</w:t>
            </w:r>
            <w:r>
              <w:rPr>
                <w:b w:val="0"/>
                <w:sz w:val="17"/>
              </w:rPr>
              <w:t xml:space="preserve"> (12 rows)</w:t>
            </w:r>
          </w:p>
        </w:tc>
        <w:tc>
          <w:tcPr>
            <w:tcW w:type="dxa" w:w="7056"/>
            <w:shd w:val="clear" w:fill="EEF4F8"/>
          </w:tcPr>
          <w:p>
            <w:pPr>
              <w:spacing w:after="20"/>
            </w:pPr>
            <w:r/>
            <w:r>
              <w:rPr>
                <w:b w:val="0"/>
                <w:sz w:val="17"/>
              </w:rPr>
              <w:t>predicted attainment is unreachable</w:t>
            </w:r>
          </w:p>
        </w:tc>
      </w:tr>
      <w:tr>
        <w:trPr>
          <w:cantSplit/>
        </w:trPr>
        <w:tc>
          <w:tcPr>
            <w:tcW w:type="dxa" w:w="2880"/>
          </w:tcPr>
          <w:p>
            <w:pPr>
              <w:spacing w:after="20"/>
            </w:pPr>
            <w:r/>
            <w:r>
              <w:rPr>
                <w:rFonts w:ascii="Consolas" w:hAnsi="Consolas"/>
                <w:b w:val="0"/>
                <w:color w:val="1B5E8C"/>
                <w:sz w:val="16"/>
              </w:rPr>
              <w:t>SALES_REVENUE_PREDICTIONS</w:t>
            </w:r>
            <w:r>
              <w:rPr>
                <w:b w:val="0"/>
                <w:sz w:val="17"/>
              </w:rPr>
              <w:t xml:space="preserve"> (6 rows)</w:t>
            </w:r>
          </w:p>
        </w:tc>
        <w:tc>
          <w:tcPr>
            <w:tcW w:type="dxa" w:w="7056"/>
          </w:tcPr>
          <w:p>
            <w:pPr>
              <w:spacing w:after="20"/>
            </w:pPr>
            <w:r/>
            <w:r>
              <w:rPr>
                <w:b w:val="0"/>
                <w:sz w:val="17"/>
              </w:rPr>
              <w:t>predicted revenue is unreachable</w:t>
            </w:r>
          </w:p>
        </w:tc>
      </w:tr>
      <w:tr>
        <w:trPr>
          <w:cantSplit/>
        </w:trPr>
        <w:tc>
          <w:tcPr>
            <w:tcW w:type="dxa" w:w="2880"/>
            <w:shd w:val="clear" w:fill="EEF4F8"/>
          </w:tcPr>
          <w:p>
            <w:pPr>
              <w:spacing w:after="20"/>
            </w:pPr>
            <w:r/>
            <w:r>
              <w:rPr>
                <w:rFonts w:ascii="Consolas" w:hAnsi="Consolas"/>
                <w:b w:val="0"/>
                <w:color w:val="1B5E8C"/>
                <w:sz w:val="16"/>
              </w:rPr>
              <w:t>SALES_REVENUE_FORECAST_METRICS</w:t>
            </w:r>
            <w:r>
              <w:rPr>
                <w:b w:val="0"/>
                <w:sz w:val="17"/>
              </w:rPr>
              <w:t xml:space="preserve"> (7 rows)</w:t>
            </w:r>
          </w:p>
        </w:tc>
        <w:tc>
          <w:tcPr>
            <w:tcW w:type="dxa" w:w="7056"/>
            <w:shd w:val="clear" w:fill="EEF4F8"/>
          </w:tcPr>
          <w:p>
            <w:pPr>
              <w:spacing w:after="20"/>
            </w:pPr>
            <w:r/>
            <w:r>
              <w:rPr>
                <w:b w:val="0"/>
                <w:sz w:val="17"/>
              </w:rPr>
              <w:t>model quality is unreachable</w:t>
            </w:r>
          </w:p>
        </w:tc>
      </w:tr>
    </w:tbl>
    <w:p>
      <w:pPr>
        <w:spacing w:after="80"/>
      </w:pPr>
    </w:p>
    <w:p>
      <w:pPr>
        <w:spacing w:after="120"/>
      </w:pPr>
      <w:r>
        <w:rPr>
          <w:b w:val="0"/>
          <w:i w:val="0"/>
          <w:sz w:val="20"/>
        </w:rPr>
        <w:t xml:space="preserve">All four omissions are in the same domain. </w:t>
      </w:r>
      <w:r>
        <w:rPr>
          <w:b/>
          <w:i w:val="0"/>
          <w:sz w:val="20"/>
        </w:rPr>
        <w:t>The agent cannot answer any question about forecast or prediction</w:t>
      </w:r>
      <w:r>
        <w:rPr>
          <w:b w:val="0"/>
          <w:i w:val="0"/>
          <w:sz w:val="20"/>
        </w:rPr>
        <w:t>, which is precisely the domain the application dedicates a whole page to. "What is our forecast attainment this year" has no table to land on, and the answer will be a graceful failure or a wrong table — neither of which is what you want on a call that has just left the Sales Forecast page.</w:t>
      </w:r>
    </w:p>
    <w:p>
      <w:pPr>
        <w:spacing w:after="120"/>
      </w:pPr>
      <w:r>
        <w:rPr>
          <w:b w:val="0"/>
          <w:i w:val="0"/>
          <w:sz w:val="20"/>
        </w:rPr>
        <w:t xml:space="preserve">Adding </w:t>
      </w:r>
      <w:r>
        <w:rPr>
          <w:rFonts w:ascii="Consolas" w:hAnsi="Consolas"/>
          <w:b w:val="0"/>
          <w:i w:val="0"/>
          <w:color w:val="1B5E8C"/>
          <w:sz w:val="19"/>
        </w:rPr>
        <w:t>SALES_FORECAST_VS_ACTUAL</w:t>
      </w:r>
      <w:r>
        <w:rPr>
          <w:b w:val="0"/>
          <w:i w:val="0"/>
          <w:sz w:val="20"/>
        </w:rPr>
        <w:t xml:space="preserve"> to the model is the single highest-value change available, and it is one table.</w:t>
      </w:r>
    </w:p>
    <w:p>
      <w:pPr>
        <w:spacing w:before="80" w:after="160"/>
        <w:jc w:val="center"/>
      </w:pPr>
      <w:r>
        <w:rPr>
          <w:color w:val="C8D4DE"/>
          <w:sz w:val="12"/>
        </w:rPr>
        <w:t>──────────────────────────────────────────────────────────</w:t>
      </w:r>
    </w:p>
    <w:p>
      <w:pPr>
        <w:keepNext/>
        <w:spacing w:before="240" w:after="60"/>
        <w:outlineLvl w:val="1"/>
      </w:pPr>
      <w:r>
        <w:rPr>
          <w:b/>
          <w:color w:val="1B3A57"/>
          <w:sz w:val="23"/>
        </w:rPr>
        <w:t>Zero measures</w:t>
      </w:r>
    </w:p>
    <w:p>
      <w:pPr>
        <w:spacing w:after="120"/>
      </w:pPr>
      <w:r>
        <w:rPr>
          <w:b w:val="0"/>
          <w:i w:val="0"/>
          <w:sz w:val="20"/>
        </w:rPr>
        <w:t xml:space="preserve">A Cortex Analyst model declares dimensions (what you group by), facts (raw numeric columns), and measures (named aggregations over facts). This model declares 9 facts and </w:t>
      </w:r>
      <w:r>
        <w:rPr>
          <w:b/>
          <w:i w:val="0"/>
          <w:sz w:val="20"/>
        </w:rPr>
        <w:t>0 measures</w:t>
      </w:r>
      <w:r>
        <w:rPr>
          <w:b w:val="0"/>
          <w:i w:val="0"/>
          <w:sz w:val="20"/>
        </w:rPr>
        <w:t>.</w:t>
      </w:r>
    </w:p>
    <w:p>
      <w:pPr>
        <w:spacing w:after="120"/>
      </w:pPr>
      <w:r>
        <w:rPr>
          <w:b w:val="0"/>
          <w:i w:val="0"/>
          <w:sz w:val="20"/>
        </w:rPr>
        <w:t>With no measures, the generated SQL invents every aggregation. Nothing pins:</w:t>
      </w:r>
    </w:p>
    <w:p>
      <w:pPr>
        <w:pStyle w:val="ListBullet"/>
        <w:spacing w:after="40"/>
      </w:pPr>
      <w:r>
        <w:rPr>
          <w:b/>
          <w:sz w:val="20"/>
        </w:rPr>
        <w:t>won value</w:t>
      </w:r>
      <w:r>
        <w:rPr>
          <w:b w:val="0"/>
          <w:sz w:val="20"/>
        </w:rPr>
        <w:t xml:space="preserve"> to </w:t>
      </w:r>
      <w:r>
        <w:rPr>
          <w:rFonts w:ascii="Consolas" w:hAnsi="Consolas"/>
          <w:b w:val="0"/>
          <w:color w:val="1B5E8C"/>
          <w:sz w:val="19"/>
        </w:rPr>
        <w:t>SUM(AMOUNT) WHERE IS_CLOSED AND IS_WON</w:t>
      </w:r>
    </w:p>
    <w:p>
      <w:pPr>
        <w:pStyle w:val="ListBullet"/>
        <w:spacing w:after="40"/>
      </w:pPr>
      <w:r>
        <w:rPr>
          <w:b/>
          <w:sz w:val="20"/>
        </w:rPr>
        <w:t>win rate</w:t>
      </w:r>
      <w:r>
        <w:rPr>
          <w:b w:val="0"/>
          <w:sz w:val="20"/>
        </w:rPr>
        <w:t xml:space="preserve"> to either basis — see below</w:t>
      </w:r>
    </w:p>
    <w:p>
      <w:pPr>
        <w:pStyle w:val="ListBullet"/>
        <w:spacing w:after="40"/>
      </w:pPr>
      <w:r>
        <w:rPr>
          <w:b/>
          <w:sz w:val="20"/>
        </w:rPr>
        <w:t>quota attainment</w:t>
      </w:r>
      <w:r>
        <w:rPr>
          <w:b w:val="0"/>
          <w:sz w:val="20"/>
        </w:rPr>
        <w:t xml:space="preserve"> to actual ÷ quota</w:t>
      </w:r>
    </w:p>
    <w:p>
      <w:pPr>
        <w:pStyle w:val="ListBullet"/>
        <w:spacing w:after="40"/>
      </w:pPr>
      <w:r>
        <w:rPr>
          <w:b/>
          <w:sz w:val="20"/>
        </w:rPr>
        <w:t>average deal size</w:t>
      </w:r>
      <w:r>
        <w:rPr>
          <w:b w:val="0"/>
          <w:sz w:val="20"/>
        </w:rPr>
        <w:t xml:space="preserve"> to the outcome-partitioned average</w:t>
      </w:r>
    </w:p>
    <w:p>
      <w:pPr>
        <w:spacing w:after="120"/>
      </w:pPr>
      <w:r>
        <w:rPr>
          <w:b w:val="0"/>
          <w:i w:val="0"/>
          <w:sz w:val="20"/>
        </w:rPr>
        <w:t>Each of those has a correct definition in this dataset, and none of them is written down anywhere the model can read. Nine facts with no measures is a model that knows what the numbers are and not what they mean.</w:t>
      </w:r>
    </w:p>
    <w:p>
      <w:pPr>
        <w:spacing w:before="80" w:after="160"/>
        <w:jc w:val="center"/>
      </w:pPr>
      <w:r>
        <w:rPr>
          <w:color w:val="C8D4DE"/>
          <w:sz w:val="12"/>
        </w:rPr>
        <w:t>──────────────────────────────────────────────────────────</w:t>
      </w:r>
    </w:p>
    <w:p>
      <w:pPr>
        <w:keepNext/>
        <w:spacing w:before="240" w:after="60"/>
        <w:outlineLvl w:val="1"/>
      </w:pPr>
      <w:r>
        <w:rPr>
          <w:b/>
          <w:color w:val="1B3A57"/>
          <w:sz w:val="23"/>
        </w:rPr>
        <w:t>The verified query gap</w:t>
      </w:r>
    </w:p>
    <w:p>
      <w:pPr>
        <w:spacing w:after="120"/>
      </w:pPr>
      <w:r>
        <w:rPr>
          <w:b/>
          <w:i w:val="0"/>
          <w:sz w:val="20"/>
        </w:rPr>
        <w:t>Zero verified queries.</w:t>
      </w:r>
      <w:r>
        <w:rPr>
          <w:b w:val="0"/>
          <w:i w:val="0"/>
          <w:sz w:val="20"/>
        </w:rPr>
        <w:t xml:space="preserve"> This is the most consequential gap in the AI layer, and the cheapest to close.</w:t>
      </w:r>
    </w:p>
    <w:p>
      <w:pPr>
        <w:spacing w:after="120"/>
      </w:pPr>
      <w:r>
        <w:rPr>
          <w:b w:val="0"/>
          <w:i w:val="0"/>
          <w:sz w:val="20"/>
        </w:rPr>
        <w:t>A verified query pairs a question with SQL a human has confirmed correct. It does three things that a schema cannot: it teaches a convention, it makes an answer reproducible across sessions, and it is retrievable — Analyst uses a matching verified query in preference to re-deriving SQL from scratch.</w:t>
      </w:r>
    </w:p>
    <w:p>
      <w:pPr>
        <w:spacing w:after="120"/>
      </w:pPr>
      <w:r>
        <w:rPr>
          <w:b w:val="0"/>
          <w:i w:val="0"/>
          <w:sz w:val="20"/>
        </w:rPr>
        <w:t>This dataset has conventions the schema does not express, and each is a route to a fluent wrong answer.</w:t>
      </w:r>
    </w:p>
    <w:p>
      <w:pPr>
        <w:keepNext/>
        <w:spacing w:before="160" w:after="40"/>
        <w:outlineLvl w:val="2"/>
      </w:pPr>
      <w:r>
        <w:rPr>
          <w:b/>
          <w:color w:val="29B5E8"/>
          <w:sz w:val="20"/>
        </w:rPr>
        <w:t>The queries to add first</w:t>
      </w:r>
    </w:p>
    <w:p>
      <w:pPr>
        <w:spacing w:after="120"/>
      </w:pPr>
      <w:r>
        <w:rPr>
          <w:b w:val="0"/>
          <w:i w:val="0"/>
          <w:sz w:val="20"/>
        </w:rPr>
        <w:t>In priority order. The first three encode the traps; the rest cover the questions an audience actually asks.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Question</w:t>
            </w:r>
          </w:p>
        </w:tc>
        <w:tc>
          <w:tcPr>
            <w:tcW w:type="dxa" w:w="3528"/>
            <w:shd w:val="clear" w:fill="1B3A57"/>
          </w:tcPr>
          <w:p>
            <w:pPr>
              <w:spacing w:after="20"/>
            </w:pPr>
            <w:r/>
            <w:r>
              <w:rPr>
                <w:b/>
                <w:color w:val="FFFFFF"/>
                <w:sz w:val="17"/>
              </w:rPr>
              <w:t>What it pins down</w:t>
            </w:r>
          </w:p>
        </w:tc>
      </w:tr>
      <w:tr>
        <w:trPr>
          <w:cantSplit/>
        </w:trPr>
        <w:tc>
          <w:tcPr>
            <w:tcW w:type="dxa" w:w="2880"/>
          </w:tcPr>
          <w:p>
            <w:pPr>
              <w:spacing w:after="20"/>
            </w:pPr>
            <w:r/>
            <w:r>
              <w:rPr>
                <w:b w:val="0"/>
                <w:sz w:val="17"/>
              </w:rPr>
              <w:t>1</w:t>
            </w:r>
          </w:p>
        </w:tc>
        <w:tc>
          <w:tcPr>
            <w:tcW w:type="dxa" w:w="3528"/>
          </w:tcPr>
          <w:p>
            <w:pPr>
              <w:spacing w:after="20"/>
            </w:pPr>
            <w:r/>
            <w:r>
              <w:rPr>
                <w:b w:val="0"/>
                <w:sz w:val="17"/>
              </w:rPr>
              <w:t>What is our win rate?</w:t>
            </w:r>
          </w:p>
        </w:tc>
        <w:tc>
          <w:tcPr>
            <w:tcW w:type="dxa" w:w="3528"/>
          </w:tcPr>
          <w:p>
            <w:pPr>
              <w:spacing w:after="20"/>
            </w:pPr>
            <w:r/>
            <w:r>
              <w:rPr>
                <w:b w:val="0"/>
                <w:sz w:val="17"/>
              </w:rPr>
              <w:t xml:space="preserve">that the answer is </w:t>
            </w:r>
            <w:r>
              <w:rPr>
                <w:b/>
                <w:sz w:val="17"/>
              </w:rPr>
              <w:t>two numbers</w:t>
            </w:r>
            <w:r>
              <w:rPr>
                <w:b w:val="0"/>
                <w:sz w:val="17"/>
              </w:rPr>
              <w:t xml:space="preserve"> — 50.4% by count, 43.8% by value — never one</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What is our average deal size for won versus lost deals?</w:t>
            </w:r>
          </w:p>
        </w:tc>
        <w:tc>
          <w:tcPr>
            <w:tcW w:type="dxa" w:w="3528"/>
            <w:shd w:val="clear" w:fill="EEF4F8"/>
          </w:tcPr>
          <w:p>
            <w:pPr>
              <w:spacing w:after="20"/>
            </w:pPr>
            <w:r/>
            <w:r>
              <w:rPr>
                <w:b w:val="0"/>
                <w:sz w:val="17"/>
              </w:rPr>
              <w:t>the outcome partition: $703,332 won, $917,442 lost</w:t>
            </w:r>
          </w:p>
        </w:tc>
      </w:tr>
      <w:tr>
        <w:trPr>
          <w:cantSplit/>
        </w:trPr>
        <w:tc>
          <w:tcPr>
            <w:tcW w:type="dxa" w:w="2880"/>
          </w:tcPr>
          <w:p>
            <w:pPr>
              <w:spacing w:after="20"/>
            </w:pPr>
            <w:r/>
            <w:r>
              <w:rPr>
                <w:b w:val="0"/>
                <w:sz w:val="17"/>
              </w:rPr>
              <w:t>3</w:t>
            </w:r>
          </w:p>
        </w:tc>
        <w:tc>
          <w:tcPr>
            <w:tcW w:type="dxa" w:w="3528"/>
          </w:tcPr>
          <w:p>
            <w:pPr>
              <w:spacing w:after="20"/>
            </w:pPr>
            <w:r/>
            <w:r>
              <w:rPr>
                <w:b w:val="0"/>
                <w:sz w:val="17"/>
              </w:rPr>
              <w:t>What is our open pipeline by stage?</w:t>
            </w:r>
          </w:p>
        </w:tc>
        <w:tc>
          <w:tcPr>
            <w:tcW w:type="dxa" w:w="3528"/>
          </w:tcPr>
          <w:p>
            <w:pPr>
              <w:spacing w:after="20"/>
            </w:pPr>
            <w:r/>
            <w:r>
              <w:rPr>
                <w:b w:val="0"/>
                <w:sz w:val="17"/>
              </w:rPr>
              <w:t xml:space="preserve">that "open" is </w:t>
            </w:r>
            <w:r>
              <w:rPr>
                <w:rFonts w:ascii="Consolas" w:hAnsi="Consolas"/>
                <w:b w:val="0"/>
                <w:color w:val="1B5E8C"/>
                <w:sz w:val="16"/>
              </w:rPr>
              <w:t>NOT IS_CLOSED</w:t>
            </w:r>
            <w:r>
              <w:rPr>
                <w:b w:val="0"/>
                <w:sz w:val="17"/>
              </w:rPr>
              <w:t>, and that no date-relative filter applies</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How is each rep tracking against quota?</w:t>
            </w:r>
          </w:p>
        </w:tc>
        <w:tc>
          <w:tcPr>
            <w:tcW w:type="dxa" w:w="3528"/>
            <w:shd w:val="clear" w:fill="EEF4F8"/>
          </w:tcPr>
          <w:p>
            <w:pPr>
              <w:spacing w:after="20"/>
            </w:pPr>
            <w:r/>
            <w:r>
              <w:rPr>
                <w:b w:val="0"/>
                <w:sz w:val="17"/>
              </w:rPr>
              <w:t>actual ÷ quota over the 8 reps, $229,988,389 total</w:t>
            </w:r>
          </w:p>
        </w:tc>
      </w:tr>
      <w:tr>
        <w:trPr>
          <w:cantSplit/>
        </w:trPr>
        <w:tc>
          <w:tcPr>
            <w:tcW w:type="dxa" w:w="2880"/>
          </w:tcPr>
          <w:p>
            <w:pPr>
              <w:spacing w:after="20"/>
            </w:pPr>
            <w:r/>
            <w:r>
              <w:rPr>
                <w:b w:val="0"/>
                <w:sz w:val="17"/>
              </w:rPr>
              <w:t>5</w:t>
            </w:r>
          </w:p>
        </w:tc>
        <w:tc>
          <w:tcPr>
            <w:tcW w:type="dxa" w:w="3528"/>
          </w:tcPr>
          <w:p>
            <w:pPr>
              <w:spacing w:after="20"/>
            </w:pPr>
            <w:r/>
            <w:r>
              <w:rPr>
                <w:b w:val="0"/>
                <w:sz w:val="17"/>
              </w:rPr>
              <w:t>Which products appear most in won opportunities?</w:t>
            </w:r>
          </w:p>
        </w:tc>
        <w:tc>
          <w:tcPr>
            <w:tcW w:type="dxa" w:w="3528"/>
          </w:tcPr>
          <w:p>
            <w:pPr>
              <w:spacing w:after="20"/>
            </w:pPr>
            <w:r/>
            <w:r>
              <w:rPr>
                <w:b w:val="0"/>
                <w:sz w:val="17"/>
              </w:rPr>
              <w:t>the opportunity → order line → product join path</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What is total order value by year?</w:t>
            </w:r>
          </w:p>
        </w:tc>
        <w:tc>
          <w:tcPr>
            <w:tcW w:type="dxa" w:w="3528"/>
            <w:shd w:val="clear" w:fill="EEF4F8"/>
          </w:tcPr>
          <w:p>
            <w:pPr>
              <w:spacing w:after="20"/>
            </w:pPr>
            <w:r/>
            <w:r>
              <w:rPr>
                <w:b w:val="0"/>
                <w:sz w:val="17"/>
              </w:rPr>
              <w:t>the order grain, and the 2015–2025 window</w:t>
            </w:r>
          </w:p>
        </w:tc>
      </w:tr>
      <w:tr>
        <w:trPr>
          <w:cantSplit/>
        </w:trPr>
        <w:tc>
          <w:tcPr>
            <w:tcW w:type="dxa" w:w="2880"/>
          </w:tcPr>
          <w:p>
            <w:pPr>
              <w:spacing w:after="20"/>
            </w:pPr>
            <w:r/>
            <w:r>
              <w:rPr>
                <w:b w:val="0"/>
                <w:sz w:val="17"/>
              </w:rPr>
              <w:t>7</w:t>
            </w:r>
          </w:p>
        </w:tc>
        <w:tc>
          <w:tcPr>
            <w:tcW w:type="dxa" w:w="3528"/>
          </w:tcPr>
          <w:p>
            <w:pPr>
              <w:spacing w:after="20"/>
            </w:pPr>
            <w:r/>
            <w:r>
              <w:rPr>
                <w:b w:val="0"/>
                <w:sz w:val="17"/>
              </w:rPr>
              <w:t>How many activities precede a won opportunity?</w:t>
            </w:r>
          </w:p>
        </w:tc>
        <w:tc>
          <w:tcPr>
            <w:tcW w:type="dxa" w:w="3528"/>
          </w:tcPr>
          <w:p>
            <w:pPr>
              <w:spacing w:after="20"/>
            </w:pPr>
            <w:r/>
            <w:r>
              <w:rPr>
                <w:b w:val="0"/>
                <w:sz w:val="17"/>
              </w:rPr>
              <w:t>the activity-to-opportunity grain, 35,313 activities</w:t>
            </w:r>
          </w:p>
        </w:tc>
      </w:tr>
      <w:tr>
        <w:trPr>
          <w:cantSplit/>
        </w:trPr>
        <w:tc>
          <w:tcPr>
            <w:tcW w:type="dxa" w:w="2880"/>
            <w:shd w:val="clear" w:fill="EEF4F8"/>
          </w:tcPr>
          <w:p>
            <w:pPr>
              <w:spacing w:after="20"/>
            </w:pPr>
            <w:r/>
            <w:r>
              <w:rPr>
                <w:b w:val="0"/>
                <w:sz w:val="17"/>
              </w:rPr>
              <w:t>8</w:t>
            </w:r>
          </w:p>
        </w:tc>
        <w:tc>
          <w:tcPr>
            <w:tcW w:type="dxa" w:w="3528"/>
            <w:shd w:val="clear" w:fill="EEF4F8"/>
          </w:tcPr>
          <w:p>
            <w:pPr>
              <w:spacing w:after="20"/>
            </w:pPr>
            <w:r/>
            <w:r>
              <w:rPr>
                <w:b w:val="0"/>
                <w:sz w:val="17"/>
              </w:rPr>
              <w:t>What is forecast attainment by month?</w:t>
            </w:r>
          </w:p>
        </w:tc>
        <w:tc>
          <w:tcPr>
            <w:tcW w:type="dxa" w:w="3528"/>
            <w:shd w:val="clear" w:fill="EEF4F8"/>
          </w:tcPr>
          <w:p>
            <w:pPr>
              <w:spacing w:after="20"/>
            </w:pPr>
            <w:r/>
            <w:r>
              <w:rPr>
                <w:b w:val="0"/>
                <w:sz w:val="17"/>
              </w:rPr>
              <w:t xml:space="preserve">requires </w:t>
            </w:r>
            <w:r>
              <w:rPr>
                <w:rFonts w:ascii="Consolas" w:hAnsi="Consolas"/>
                <w:b w:val="0"/>
                <w:color w:val="1B5E8C"/>
                <w:sz w:val="16"/>
              </w:rPr>
              <w:t>SALES_FORECAST_VS_ACTUAL</w:t>
            </w:r>
            <w:r>
              <w:rPr>
                <w:b w:val="0"/>
                <w:sz w:val="17"/>
              </w:rPr>
              <w:t xml:space="preserve"> to be added to the model first</w:t>
            </w:r>
          </w:p>
        </w:tc>
      </w:tr>
    </w:tbl>
    <w:p>
      <w:pPr>
        <w:spacing w:after="80"/>
      </w:pPr>
    </w:p>
    <w:p>
      <w:pPr>
        <w:spacing w:after="120"/>
      </w:pPr>
      <w:r>
        <w:rPr>
          <w:b w:val="0"/>
          <w:i w:val="0"/>
          <w:sz w:val="20"/>
        </w:rPr>
        <w:t>Query 1 is the one to write before any of the others.</w:t>
      </w:r>
    </w:p>
    <w:p>
      <w:pPr>
        <w:spacing w:before="80" w:after="160"/>
        <w:jc w:val="center"/>
      </w:pPr>
      <w:r>
        <w:rPr>
          <w:color w:val="C8D4DE"/>
          <w:sz w:val="12"/>
        </w:rPr>
        <w:t>──────────────────────────────────────────────────────────</w:t>
      </w:r>
    </w:p>
    <w:p>
      <w:pPr>
        <w:keepNext/>
        <w:spacing w:before="240" w:after="60"/>
        <w:outlineLvl w:val="1"/>
      </w:pPr>
      <w:r>
        <w:rPr>
          <w:b/>
          <w:color w:val="1B3A57"/>
          <w:sz w:val="23"/>
        </w:rPr>
        <w:t>Three traps a verified query should encode</w:t>
      </w:r>
    </w:p>
    <w:p>
      <w:pPr>
        <w:keepNext/>
        <w:spacing w:before="160" w:after="40"/>
        <w:outlineLvl w:val="2"/>
      </w:pPr>
      <w:r>
        <w:rPr>
          <w:b/>
          <w:color w:val="29B5E8"/>
          <w:sz w:val="20"/>
        </w:rPr>
        <w:t>1. Win rate is ambiguous by 6.6 points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Basis</w:t>
            </w:r>
          </w:p>
        </w:tc>
        <w:tc>
          <w:tcPr>
            <w:tcW w:type="dxa" w:w="7056"/>
            <w:shd w:val="clear" w:fill="1B3A57"/>
          </w:tcPr>
          <w:p>
            <w:pPr>
              <w:spacing w:after="20"/>
            </w:pPr>
            <w:r/>
            <w:r>
              <w:rPr>
                <w:b/>
                <w:color w:val="FFFFFF"/>
                <w:sz w:val="17"/>
              </w:rPr>
              <w:t>Result</w:t>
            </w:r>
          </w:p>
        </w:tc>
      </w:tr>
      <w:tr>
        <w:trPr>
          <w:cantSplit/>
        </w:trPr>
        <w:tc>
          <w:tcPr>
            <w:tcW w:type="dxa" w:w="2880"/>
          </w:tcPr>
          <w:p>
            <w:pPr>
              <w:spacing w:after="20"/>
            </w:pPr>
            <w:r/>
            <w:r>
              <w:rPr>
                <w:b w:val="0"/>
                <w:sz w:val="17"/>
              </w:rPr>
              <w:t>By count — 289 ÷ 573</w:t>
            </w:r>
          </w:p>
        </w:tc>
        <w:tc>
          <w:tcPr>
            <w:tcW w:type="dxa" w:w="7056"/>
          </w:tcPr>
          <w:p>
            <w:pPr>
              <w:spacing w:after="20"/>
            </w:pPr>
            <w:r/>
            <w:r>
              <w:rPr>
                <w:b/>
                <w:sz w:val="17"/>
              </w:rPr>
              <w:t>50.4%</w:t>
            </w:r>
          </w:p>
        </w:tc>
      </w:tr>
      <w:tr>
        <w:trPr>
          <w:cantSplit/>
        </w:trPr>
        <w:tc>
          <w:tcPr>
            <w:tcW w:type="dxa" w:w="2880"/>
            <w:shd w:val="clear" w:fill="EEF4F8"/>
          </w:tcPr>
          <w:p>
            <w:pPr>
              <w:spacing w:after="20"/>
            </w:pPr>
            <w:r/>
            <w:r>
              <w:rPr>
                <w:b w:val="0"/>
                <w:sz w:val="17"/>
              </w:rPr>
              <w:t>By value — $203,263,038 ÷ $463,816,637</w:t>
            </w:r>
          </w:p>
        </w:tc>
        <w:tc>
          <w:tcPr>
            <w:tcW w:type="dxa" w:w="7056"/>
            <w:shd w:val="clear" w:fill="EEF4F8"/>
          </w:tcPr>
          <w:p>
            <w:pPr>
              <w:spacing w:after="20"/>
            </w:pPr>
            <w:r/>
            <w:r>
              <w:rPr>
                <w:b/>
                <w:sz w:val="17"/>
              </w:rPr>
              <w:t>43.8%</w:t>
            </w:r>
          </w:p>
        </w:tc>
      </w:tr>
    </w:tbl>
    <w:p>
      <w:pPr>
        <w:spacing w:after="80"/>
      </w:pPr>
    </w:p>
    <w:p>
      <w:pPr>
        <w:spacing w:after="120"/>
      </w:pPr>
      <w:r>
        <w:rPr>
          <w:b w:val="0"/>
          <w:i w:val="0"/>
          <w:sz w:val="20"/>
        </w:rPr>
        <w:t>An Analyst asked "what is our win rate" will produce one of these and present it without qualification. Which one it picks depends on wording it was not told is significant. The verified query must return both, labelled, because the gap is the finding — see findings (05-findings.md#they-lose-the-larger-deals).</w:t>
      </w:r>
    </w:p>
    <w:p>
      <w:pPr>
        <w:keepNext/>
        <w:spacing w:before="160" w:after="40"/>
        <w:outlineLvl w:val="2"/>
      </w:pPr>
      <w:r>
        <w:rPr>
          <w:b/>
          <w:color w:val="29B5E8"/>
          <w:sz w:val="20"/>
        </w:rPr>
        <w:t>2. No date-relative filter works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Series</w:t>
            </w:r>
          </w:p>
        </w:tc>
        <w:tc>
          <w:tcPr>
            <w:tcW w:type="dxa" w:w="7056"/>
            <w:shd w:val="clear" w:fill="1B3A57"/>
          </w:tcPr>
          <w:p>
            <w:pPr>
              <w:spacing w:after="20"/>
            </w:pPr>
            <w:r/>
            <w:r>
              <w:rPr>
                <w:b/>
                <w:color w:val="FFFFFF"/>
                <w:sz w:val="17"/>
              </w:rPr>
              <w:t>Ends</w:t>
            </w:r>
          </w:p>
        </w:tc>
      </w:tr>
      <w:tr>
        <w:trPr>
          <w:cantSplit/>
        </w:trPr>
        <w:tc>
          <w:tcPr>
            <w:tcW w:type="dxa" w:w="2880"/>
          </w:tcPr>
          <w:p>
            <w:pPr>
              <w:spacing w:after="20"/>
            </w:pPr>
            <w:r/>
            <w:r>
              <w:rPr>
                <w:b w:val="0"/>
                <w:sz w:val="17"/>
              </w:rPr>
              <w:t>Opportunity close dates</w:t>
            </w:r>
          </w:p>
        </w:tc>
        <w:tc>
          <w:tcPr>
            <w:tcW w:type="dxa" w:w="7056"/>
          </w:tcPr>
          <w:p>
            <w:pPr>
              <w:spacing w:after="20"/>
            </w:pPr>
            <w:r/>
            <w:r>
              <w:rPr>
                <w:b w:val="0"/>
                <w:sz w:val="17"/>
              </w:rPr>
              <w:t>2026-08-16</w:t>
            </w:r>
          </w:p>
        </w:tc>
      </w:tr>
      <w:tr>
        <w:trPr>
          <w:cantSplit/>
        </w:trPr>
        <w:tc>
          <w:tcPr>
            <w:tcW w:type="dxa" w:w="2880"/>
            <w:shd w:val="clear" w:fill="EEF4F8"/>
          </w:tcPr>
          <w:p>
            <w:pPr>
              <w:spacing w:after="20"/>
            </w:pPr>
            <w:r/>
            <w:r>
              <w:rPr>
                <w:b w:val="0"/>
                <w:sz w:val="17"/>
              </w:rPr>
              <w:t>Sales order dates</w:t>
            </w:r>
          </w:p>
        </w:tc>
        <w:tc>
          <w:tcPr>
            <w:tcW w:type="dxa" w:w="7056"/>
            <w:shd w:val="clear" w:fill="EEF4F8"/>
          </w:tcPr>
          <w:p>
            <w:pPr>
              <w:spacing w:after="20"/>
            </w:pPr>
            <w:r/>
            <w:r>
              <w:rPr>
                <w:b w:val="0"/>
                <w:sz w:val="17"/>
              </w:rPr>
              <w:t>2025-12-31</w:t>
            </w:r>
          </w:p>
        </w:tc>
      </w:tr>
      <w:tr>
        <w:trPr>
          <w:cantSplit/>
        </w:trPr>
        <w:tc>
          <w:tcPr>
            <w:tcW w:type="dxa" w:w="2880"/>
          </w:tcPr>
          <w:p>
            <w:pPr>
              <w:spacing w:after="20"/>
            </w:pPr>
            <w:r/>
            <w:r>
              <w:rPr>
                <w:b w:val="0"/>
                <w:sz w:val="17"/>
              </w:rPr>
              <w:t>Forecast periods</w:t>
            </w:r>
          </w:p>
        </w:tc>
        <w:tc>
          <w:tcPr>
            <w:tcW w:type="dxa" w:w="7056"/>
          </w:tcPr>
          <w:p>
            <w:pPr>
              <w:spacing w:after="20"/>
            </w:pPr>
            <w:r/>
            <w:r>
              <w:rPr>
                <w:b w:val="0"/>
                <w:sz w:val="17"/>
              </w:rPr>
              <w:t>2025-12-01</w:t>
            </w:r>
          </w:p>
        </w:tc>
      </w:tr>
    </w:tbl>
    <w:p>
      <w:pPr>
        <w:spacing w:after="80"/>
      </w:pPr>
    </w:p>
    <w:p>
      <w:pPr>
        <w:spacing w:after="120"/>
      </w:pPr>
      <w:r>
        <w:rPr>
          <w:b w:val="0"/>
          <w:i w:val="0"/>
          <w:sz w:val="20"/>
        </w:rPr>
        <w:t xml:space="preserve">Verified on 2026-09-21, all three are in the past. "This quarter", "last 90 days" and "year to date" all return empty or near-empty, and an Analyst reaching for </w:t>
      </w:r>
      <w:r>
        <w:rPr>
          <w:rFonts w:ascii="Consolas" w:hAnsi="Consolas"/>
          <w:b w:val="0"/>
          <w:i w:val="0"/>
          <w:color w:val="1B5E8C"/>
          <w:sz w:val="19"/>
        </w:rPr>
        <w:t>CURRENT_DATE()</w:t>
      </w:r>
      <w:r>
        <w:rPr>
          <w:b w:val="0"/>
          <w:i w:val="0"/>
          <w:sz w:val="20"/>
        </w:rPr>
        <w:t xml:space="preserve"> — which is the natural thing to generate — produces an empty result set that reads as "we have no pipeline".</w:t>
      </w:r>
    </w:p>
    <w:p>
      <w:pPr>
        <w:spacing w:after="120"/>
      </w:pPr>
      <w:r>
        <w:rPr>
          <w:b/>
          <w:i w:val="0"/>
          <w:sz w:val="20"/>
        </w:rPr>
        <w:t>Every verified query over this data should use absolute date ranges.</w:t>
      </w:r>
      <w:r>
        <w:rPr>
          <w:b w:val="0"/>
          <w:i w:val="0"/>
          <w:sz w:val="20"/>
        </w:rPr>
        <w:t xml:space="preserve"> The pipeline is $1,903,302,819 and 100% past due; a query that filters to the future finds none of it.</w:t>
      </w:r>
    </w:p>
    <w:p>
      <w:pPr>
        <w:keepNext/>
        <w:spacing w:before="160" w:after="40"/>
        <w:outlineLvl w:val="2"/>
      </w:pPr>
      <w:r>
        <w:rPr>
          <w:b/>
          <w:color w:val="29B5E8"/>
          <w:sz w:val="20"/>
        </w:rPr>
        <w:t>3. Opportunities and order lines are different grains at different scales</w:t>
      </w:r>
    </w:p>
    <w:p>
      <w:pPr>
        <w:spacing w:after="120"/>
      </w:pPr>
      <w:r>
        <w:rPr>
          <w:b w:val="0"/>
          <w:i w:val="0"/>
          <w:sz w:val="20"/>
        </w:rPr>
        <w:t>3,774 opportunities against 735,305 order line items, over different periods — CRM covers eighteen months, orders cover eleven years. A question that joins them and then counts is at risk of fanning out, and a question that charts them together is comparing an eleven-year order book against an eighteen-month CRM extract.</w:t>
      </w:r>
    </w:p>
    <w:p>
      <w:pPr>
        <w:spacing w:before="80" w:after="160"/>
        <w:jc w:val="center"/>
      </w:pPr>
      <w:r>
        <w:rPr>
          <w:color w:val="C8D4DE"/>
          <w:sz w:val="12"/>
        </w:rPr>
        <w:t>──────────────────────────────────────────────────────────</w:t>
      </w:r>
    </w:p>
    <w:p>
      <w:pPr>
        <w:keepNext/>
        <w:spacing w:before="240" w:after="60"/>
        <w:outlineLvl w:val="1"/>
      </w:pPr>
      <w:r>
        <w:rPr>
          <w:b/>
          <w:color w:val="1B3A57"/>
          <w:sz w:val="23"/>
        </w:rPr>
        <w:t>Asking the agent</w:t>
      </w:r>
    </w:p>
    <w:p>
      <w:pPr>
        <w:spacing w:after="120"/>
      </w:pPr>
      <w:r>
        <w:rPr>
          <w:b w:val="0"/>
          <w:i w:val="0"/>
          <w:sz w:val="20"/>
        </w:rPr>
        <w:t xml:space="preserve">The app no longer has an Ask the Agent page; its Ask Cortex page (first in the menu, above the Executive Dashboard) covers in-app analysis. Free-form questions go to </w:t>
      </w:r>
      <w:r>
        <w:rPr>
          <w:rFonts w:ascii="Consolas" w:hAnsi="Consolas"/>
          <w:b w:val="0"/>
          <w:i w:val="0"/>
          <w:color w:val="1B5E8C"/>
          <w:sz w:val="19"/>
        </w:rPr>
        <w:t>SAP_SALES_360_AGENT</w:t>
      </w:r>
      <w:r>
        <w:rPr>
          <w:b w:val="0"/>
          <w:i w:val="0"/>
          <w:sz w:val="20"/>
        </w:rPr>
        <w:t xml:space="preserve"> in Snowflake Intelligence, which inherits everything above: 10 tables, 64 dimensions, 0 measures, 0 verified queries, and no forecast table.</w:t>
      </w:r>
    </w:p>
    <w:p>
      <w:pPr>
        <w:spacing w:after="120"/>
      </w:pPr>
      <w:r>
        <w:rPr>
          <w:b w:val="0"/>
          <w:i w:val="0"/>
          <w:sz w:val="20"/>
        </w:rPr>
        <w:t>Two implications for a demo.</w:t>
      </w:r>
    </w:p>
    <w:p>
      <w:pPr>
        <w:spacing w:after="120"/>
      </w:pPr>
      <w:r>
        <w:rPr>
          <w:b/>
          <w:i w:val="0"/>
          <w:sz w:val="20"/>
        </w:rPr>
        <w:t>Ask questions inside the model's 10 tables.</w:t>
      </w:r>
      <w:r>
        <w:rPr>
          <w:b w:val="0"/>
          <w:i w:val="0"/>
          <w:sz w:val="20"/>
        </w:rPr>
        <w:t xml:space="preserve"> Pipeline, win/loss, deal size, rep performance, products, customers, orders, activities — all answerable. Forecast and prediction are not.</w:t>
      </w:r>
    </w:p>
    <w:p>
      <w:pPr>
        <w:spacing w:after="120"/>
      </w:pPr>
      <w:r>
        <w:rPr>
          <w:b/>
          <w:i w:val="0"/>
          <w:sz w:val="20"/>
        </w:rPr>
        <w:t>Avoid relative dates.</w:t>
      </w:r>
      <w:r>
        <w:rPr>
          <w:b w:val="0"/>
          <w:i w:val="0"/>
          <w:sz w:val="20"/>
        </w:rPr>
        <w:t xml:space="preserve"> Ask "what is our open pipeline by stage", not "what closed this quarter". The first is a strong answer; the second returns nothing, for a reason that takes two minutes to explain and undoes the demonstration.</w:t>
      </w:r>
    </w:p>
    <w:p>
      <w:pPr>
        <w:spacing w:before="80" w:after="160"/>
        <w:jc w:val="center"/>
      </w:pPr>
      <w:r>
        <w:rPr>
          <w:color w:val="C8D4DE"/>
          <w:sz w:val="12"/>
        </w:rPr>
        <w:t>──────────────────────────────────────────────────────────</w:t>
      </w:r>
    </w:p>
    <w:p>
      <w:pPr>
        <w:keepNext/>
        <w:spacing w:before="240" w:after="60"/>
        <w:outlineLvl w:val="1"/>
      </w:pPr>
      <w:r>
        <w:rPr>
          <w:b/>
          <w:color w:val="1B3A57"/>
          <w:sz w:val="23"/>
        </w:rPr>
        <w:t>Honest summary for a customer conversation</w:t>
      </w:r>
    </w:p>
    <w:p>
      <w:pPr>
        <w:spacing w:after="120"/>
      </w:pPr>
      <w:r>
        <w:rPr>
          <w:b w:val="0"/>
          <w:i w:val="0"/>
          <w:sz w:val="20"/>
        </w:rPr>
        <w:t>What is genuinely built and demonstrable:</w:t>
      </w:r>
    </w:p>
    <w:p>
      <w:pPr>
        <w:pStyle w:val="ListBullet"/>
        <w:spacing w:after="40"/>
      </w:pPr>
      <w:r>
        <w:rPr>
          <w:b w:val="0"/>
          <w:sz w:val="20"/>
        </w:rPr>
        <w:t>One data layer, two semantic descriptions, and a working agent over the smaller one.</w:t>
      </w:r>
    </w:p>
    <w:p>
      <w:pPr>
        <w:pStyle w:val="ListBullet"/>
        <w:spacing w:after="40"/>
      </w:pPr>
      <w:r>
        <w:rPr>
          <w:b w:val="0"/>
          <w:sz w:val="20"/>
        </w:rPr>
        <w:t>A 10-table Analyst model covering the commercial core well.</w:t>
      </w:r>
    </w:p>
    <w:p>
      <w:pPr>
        <w:pStyle w:val="ListBullet"/>
        <w:spacing w:after="40"/>
      </w:pPr>
      <w:r>
        <w:rPr>
          <w:b w:val="0"/>
          <w:sz w:val="20"/>
        </w:rPr>
        <w:t>A semantic view with 138 metrics and 44 declared relationships — real modelling effort, queryable directly.</w:t>
      </w:r>
    </w:p>
    <w:p>
      <w:pPr>
        <w:pStyle w:val="ListBullet"/>
        <w:spacing w:after="40"/>
      </w:pPr>
      <w:r>
        <w:rPr>
          <w:b w:val="0"/>
          <w:sz w:val="20"/>
        </w:rPr>
        <w:t xml:space="preserve">An agent with a single, well-chosen tool and </w:t>
      </w:r>
      <w:r>
        <w:rPr>
          <w:rFonts w:ascii="Consolas" w:hAnsi="Consolas"/>
          <w:b w:val="0"/>
          <w:color w:val="1B5E8C"/>
          <w:sz w:val="19"/>
        </w:rPr>
        <w:t>auto</w:t>
      </w:r>
      <w:r>
        <w:rPr>
          <w:b w:val="0"/>
          <w:sz w:val="20"/>
        </w:rPr>
        <w:t xml:space="preserve"> orchestration, reachable from Snowflake Intelligence.</w:t>
      </w:r>
    </w:p>
    <w:p>
      <w:pPr>
        <w:spacing w:after="120"/>
      </w:pPr>
      <w:r>
        <w:rPr>
          <w:b w:val="0"/>
          <w:i w:val="0"/>
          <w:sz w:val="20"/>
        </w:rPr>
        <w:t>What is not finished, and is better said than found:</w:t>
      </w:r>
    </w:p>
    <w:p>
      <w:pPr>
        <w:pStyle w:val="ListBullet"/>
        <w:spacing w:after="40"/>
      </w:pPr>
      <w:r>
        <w:rPr>
          <w:b/>
          <w:sz w:val="20"/>
        </w:rPr>
        <w:t>0 verified queries.</w:t>
      </w:r>
      <w:r>
        <w:rPr>
          <w:b w:val="0"/>
          <w:sz w:val="20"/>
        </w:rPr>
        <w:t xml:space="preserve"> Nothing pins a correct answer to a known question.</w:t>
      </w:r>
    </w:p>
    <w:p>
      <w:pPr>
        <w:pStyle w:val="ListBullet"/>
        <w:spacing w:after="40"/>
      </w:pPr>
      <w:r>
        <w:rPr>
          <w:b/>
          <w:sz w:val="20"/>
        </w:rPr>
        <w:t>0 measures.</w:t>
      </w:r>
      <w:r>
        <w:rPr>
          <w:b w:val="0"/>
          <w:sz w:val="20"/>
        </w:rPr>
        <w:t xml:space="preserve"> Every aggregation in an answer is invented by the generated SQL.</w:t>
      </w:r>
    </w:p>
    <w:p>
      <w:pPr>
        <w:pStyle w:val="ListBullet"/>
        <w:spacing w:after="40"/>
      </w:pPr>
      <w:r>
        <w:rPr>
          <w:b/>
          <w:sz w:val="20"/>
        </w:rPr>
        <w:t>No forecast table in the model.</w:t>
      </w:r>
      <w:r>
        <w:rPr>
          <w:b w:val="0"/>
          <w:sz w:val="20"/>
        </w:rPr>
        <w:t xml:space="preserve"> The domain the app dedicates a page to is unreachable from natural language.</w:t>
      </w:r>
    </w:p>
    <w:p>
      <w:pPr>
        <w:pStyle w:val="ListBullet"/>
        <w:spacing w:after="40"/>
      </w:pPr>
      <w:r>
        <w:rPr>
          <w:b/>
          <w:sz w:val="20"/>
        </w:rPr>
        <w:t>The 138 semantic-view metrics are unreachable from the agent</w:t>
      </w:r>
      <w:r>
        <w:rPr>
          <w:b w:val="0"/>
          <w:sz w:val="20"/>
        </w:rPr>
        <w:t>, because the agent's tool binds to the stage model.</w:t>
      </w:r>
    </w:p>
    <w:p>
      <w:pPr>
        <w:spacing w:after="120"/>
      </w:pPr>
      <w:r>
        <w:rPr>
          <w:b w:val="0"/>
          <w:i w:val="0"/>
          <w:sz w:val="20"/>
        </w:rPr>
        <w:t>None of these is a platform limitation. All four are hours of modelling work, and the first — one verified query for win rate — is worth more than the other three combined.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