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Sales 360</w:t>
      </w:r>
    </w:p>
    <w:p>
      <w:pPr>
        <w:spacing w:after="40"/>
      </w:pPr>
      <w:r>
        <w:rPr>
          <w:b/>
          <w:color w:val="1B3A57"/>
          <w:sz w:val="44"/>
        </w:rPr>
        <w:t>Semantic layer</w:t>
      </w:r>
    </w:p>
    <w:p>
      <w:pPr>
        <w:spacing w:after="280"/>
      </w:pPr>
      <w:r>
        <w:rPr>
          <w:color w:val="5A6A7A"/>
          <w:sz w:val="19"/>
        </w:rPr>
        <w:t>Generated from docs/08-semantic-layer.md  ·  part 08</w:t>
      </w:r>
    </w:p>
    <w:p>
      <w:pPr>
        <w:spacing w:after="120"/>
      </w:pPr>
      <w:r>
        <w:rPr>
          <w:b w:val="0"/>
          <w:i w:val="0"/>
          <w:sz w:val="20"/>
        </w:rPr>
        <w:t>Two artefacts describe the same data at very different resolutions. Which one you edit determines whether your change has any effect.</w:t>
      </w:r>
    </w:p>
    <w:p>
      <w:pPr>
        <w:spacing w:before="80" w:after="160"/>
        <w:jc w:val="center"/>
      </w:pPr>
      <w:r>
        <w:rPr>
          <w:color w:val="C8D4DE"/>
          <w:sz w:val="12"/>
        </w:rPr>
        <w:t>──────────────────────────────────────────────────────────</w:t>
      </w:r>
    </w:p>
    <w:p>
      <w:pPr>
        <w:keepNext/>
        <w:spacing w:before="240" w:after="60"/>
        <w:outlineLvl w:val="1"/>
      </w:pPr>
      <w:r>
        <w:rPr>
          <w:b/>
          <w:color w:val="1B3A57"/>
          <w:sz w:val="23"/>
        </w:rPr>
        <w:t>Two artefacts, one data layer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Semantic view</w:t>
            </w:r>
          </w:p>
        </w:tc>
        <w:tc>
          <w:tcPr>
            <w:tcW w:type="dxa" w:w="3528"/>
            <w:shd w:val="clear" w:fill="1B3A57"/>
          </w:tcPr>
          <w:p>
            <w:pPr>
              <w:spacing w:after="20"/>
            </w:pPr>
            <w:r/>
            <w:r>
              <w:rPr>
                <w:b/>
                <w:color w:val="FFFFFF"/>
                <w:sz w:val="17"/>
              </w:rPr>
              <w:t>Analyst stage model</w:t>
            </w:r>
          </w:p>
        </w:tc>
      </w:tr>
      <w:tr>
        <w:trPr>
          <w:cantSplit/>
        </w:trPr>
        <w:tc>
          <w:tcPr>
            <w:tcW w:type="dxa" w:w="2880"/>
          </w:tcPr>
          <w:p>
            <w:pPr>
              <w:spacing w:after="20"/>
            </w:pPr>
            <w:r/>
            <w:r>
              <w:rPr>
                <w:b w:val="0"/>
                <w:sz w:val="17"/>
              </w:rPr>
              <w:t>Identifier</w:t>
            </w:r>
          </w:p>
        </w:tc>
        <w:tc>
          <w:tcPr>
            <w:tcW w:type="dxa" w:w="3528"/>
          </w:tcPr>
          <w:p>
            <w:pPr>
              <w:spacing w:after="20"/>
            </w:pPr>
            <w:r/>
            <w:r>
              <w:rPr>
                <w:rFonts w:ascii="Consolas" w:hAnsi="Consolas"/>
                <w:b w:val="0"/>
                <w:color w:val="1B5E8C"/>
                <w:sz w:val="16"/>
              </w:rPr>
              <w:t>SAP_SALES_360.SEMANTIC.SAP_SALES_360_ANALYTICS</w:t>
            </w:r>
          </w:p>
        </w:tc>
        <w:tc>
          <w:tcPr>
            <w:tcW w:type="dxa" w:w="3528"/>
          </w:tcPr>
          <w:p>
            <w:pPr>
              <w:spacing w:after="20"/>
            </w:pPr>
            <w:r/>
            <w:r>
              <w:rPr>
                <w:rFonts w:ascii="Consolas" w:hAnsi="Consolas"/>
                <w:b w:val="0"/>
                <w:color w:val="1B5E8C"/>
                <w:sz w:val="16"/>
              </w:rPr>
              <w:t>@SAP_SALES_360.SEMANTIC.SEMANTIC_STAGE/sap_sales_360_semantic.yaml</w:t>
            </w:r>
          </w:p>
        </w:tc>
      </w:tr>
      <w:tr>
        <w:trPr>
          <w:cantSplit/>
        </w:trPr>
        <w:tc>
          <w:tcPr>
            <w:tcW w:type="dxa" w:w="2880"/>
            <w:shd w:val="clear" w:fill="EEF4F8"/>
          </w:tcPr>
          <w:p>
            <w:pPr>
              <w:spacing w:after="20"/>
            </w:pPr>
            <w:r/>
            <w:r>
              <w:rPr>
                <w:b w:val="0"/>
                <w:sz w:val="17"/>
              </w:rPr>
              <w:t>Model name</w:t>
            </w:r>
          </w:p>
        </w:tc>
        <w:tc>
          <w:tcPr>
            <w:tcW w:type="dxa" w:w="3528"/>
            <w:shd w:val="clear" w:fill="EEF4F8"/>
          </w:tcPr>
          <w:p>
            <w:pPr>
              <w:spacing w:after="20"/>
            </w:pPr>
            <w:r/>
            <w:r>
              <w:rPr>
                <w:rFonts w:ascii="Consolas" w:hAnsi="Consolas"/>
                <w:b w:val="0"/>
                <w:color w:val="1B5E8C"/>
                <w:sz w:val="16"/>
              </w:rPr>
              <w:t>SAP_SALES_360_ANALYTICS</w:t>
            </w:r>
          </w:p>
        </w:tc>
        <w:tc>
          <w:tcPr>
            <w:tcW w:type="dxa" w:w="3528"/>
            <w:shd w:val="clear" w:fill="EEF4F8"/>
          </w:tcPr>
          <w:p>
            <w:pPr>
              <w:spacing w:after="20"/>
            </w:pPr>
            <w:r/>
            <w:r>
              <w:rPr>
                <w:rFonts w:ascii="Consolas" w:hAnsi="Consolas"/>
                <w:b w:val="0"/>
                <w:color w:val="1B5E8C"/>
                <w:sz w:val="16"/>
              </w:rPr>
              <w:t>SAP_SALES_360_ANALYTICS</w:t>
            </w:r>
          </w:p>
        </w:tc>
      </w:tr>
      <w:tr>
        <w:trPr>
          <w:cantSplit/>
        </w:trPr>
        <w:tc>
          <w:tcPr>
            <w:tcW w:type="dxa" w:w="2880"/>
          </w:tcPr>
          <w:p>
            <w:pPr>
              <w:spacing w:after="20"/>
            </w:pPr>
            <w:r/>
            <w:r>
              <w:rPr>
                <w:b w:val="0"/>
                <w:sz w:val="17"/>
              </w:rPr>
              <w:t>Form</w:t>
            </w:r>
          </w:p>
        </w:tc>
        <w:tc>
          <w:tcPr>
            <w:tcW w:type="dxa" w:w="3528"/>
          </w:tcPr>
          <w:p>
            <w:pPr>
              <w:spacing w:after="20"/>
            </w:pPr>
            <w:r/>
            <w:r>
              <w:rPr>
                <w:b w:val="0"/>
                <w:sz w:val="17"/>
              </w:rPr>
              <w:t>first-class Snowflake object</w:t>
            </w:r>
          </w:p>
        </w:tc>
        <w:tc>
          <w:tcPr>
            <w:tcW w:type="dxa" w:w="3528"/>
          </w:tcPr>
          <w:p>
            <w:pPr>
              <w:spacing w:after="20"/>
            </w:pPr>
            <w:r/>
            <w:r>
              <w:rPr>
                <w:b w:val="0"/>
                <w:sz w:val="17"/>
              </w:rPr>
              <w:t>YAML file on a stage</w:t>
            </w:r>
          </w:p>
        </w:tc>
      </w:tr>
      <w:tr>
        <w:trPr>
          <w:cantSplit/>
        </w:trPr>
        <w:tc>
          <w:tcPr>
            <w:tcW w:type="dxa" w:w="2880"/>
            <w:shd w:val="clear" w:fill="EEF4F8"/>
          </w:tcPr>
          <w:p>
            <w:pPr>
              <w:spacing w:after="20"/>
            </w:pPr>
            <w:r/>
            <w:r>
              <w:rPr>
                <w:b w:val="0"/>
                <w:sz w:val="17"/>
              </w:rPr>
              <w:t>Logical tables</w:t>
            </w:r>
          </w:p>
        </w:tc>
        <w:tc>
          <w:tcPr>
            <w:tcW w:type="dxa" w:w="3528"/>
            <w:shd w:val="clear" w:fill="EEF4F8"/>
          </w:tcPr>
          <w:p>
            <w:pPr>
              <w:spacing w:after="20"/>
            </w:pPr>
            <w:r/>
            <w:r>
              <w:rPr>
                <w:b w:val="0"/>
                <w:sz w:val="17"/>
              </w:rPr>
              <w:t>64</w:t>
            </w:r>
          </w:p>
        </w:tc>
        <w:tc>
          <w:tcPr>
            <w:tcW w:type="dxa" w:w="3528"/>
            <w:shd w:val="clear" w:fill="EEF4F8"/>
          </w:tcPr>
          <w:p>
            <w:pPr>
              <w:spacing w:after="20"/>
            </w:pPr>
            <w:r/>
            <w:r>
              <w:rPr>
                <w:b w:val="0"/>
                <w:sz w:val="17"/>
              </w:rPr>
              <w:t>10</w:t>
            </w:r>
          </w:p>
        </w:tc>
      </w:tr>
      <w:tr>
        <w:trPr>
          <w:cantSplit/>
        </w:trPr>
        <w:tc>
          <w:tcPr>
            <w:tcW w:type="dxa" w:w="2880"/>
          </w:tcPr>
          <w:p>
            <w:pPr>
              <w:spacing w:after="20"/>
            </w:pPr>
            <w:r/>
            <w:r>
              <w:rPr>
                <w:b w:val="0"/>
                <w:sz w:val="17"/>
              </w:rPr>
              <w:t>Dimensions</w:t>
            </w:r>
          </w:p>
        </w:tc>
        <w:tc>
          <w:tcPr>
            <w:tcW w:type="dxa" w:w="3528"/>
          </w:tcPr>
          <w:p>
            <w:pPr>
              <w:spacing w:after="20"/>
            </w:pPr>
            <w:r/>
            <w:r>
              <w:rPr>
                <w:b w:val="0"/>
                <w:sz w:val="17"/>
              </w:rPr>
              <w:t>369</w:t>
            </w:r>
          </w:p>
        </w:tc>
        <w:tc>
          <w:tcPr>
            <w:tcW w:type="dxa" w:w="3528"/>
          </w:tcPr>
          <w:p>
            <w:pPr>
              <w:spacing w:after="20"/>
            </w:pPr>
            <w:r/>
            <w:r>
              <w:rPr>
                <w:b w:val="0"/>
                <w:sz w:val="17"/>
              </w:rPr>
              <w:t>64</w:t>
            </w:r>
          </w:p>
        </w:tc>
      </w:tr>
      <w:tr>
        <w:trPr>
          <w:cantSplit/>
        </w:trPr>
        <w:tc>
          <w:tcPr>
            <w:tcW w:type="dxa" w:w="2880"/>
            <w:shd w:val="clear" w:fill="EEF4F8"/>
          </w:tcPr>
          <w:p>
            <w:pPr>
              <w:spacing w:after="20"/>
            </w:pPr>
            <w:r/>
            <w:r>
              <w:rPr>
                <w:b w:val="0"/>
                <w:sz w:val="17"/>
              </w:rPr>
              <w:t>Facts</w:t>
            </w:r>
          </w:p>
        </w:tc>
        <w:tc>
          <w:tcPr>
            <w:tcW w:type="dxa" w:w="3528"/>
            <w:shd w:val="clear" w:fill="EEF4F8"/>
          </w:tcPr>
          <w:p>
            <w:pPr>
              <w:spacing w:after="20"/>
            </w:pPr>
            <w:r/>
            <w:r>
              <w:rPr>
                <w:b w:val="0"/>
                <w:sz w:val="17"/>
              </w:rPr>
              <w:t>69</w:t>
            </w:r>
          </w:p>
        </w:tc>
        <w:tc>
          <w:tcPr>
            <w:tcW w:type="dxa" w:w="3528"/>
            <w:shd w:val="clear" w:fill="EEF4F8"/>
          </w:tcPr>
          <w:p>
            <w:pPr>
              <w:spacing w:after="20"/>
            </w:pPr>
            <w:r/>
            <w:r>
              <w:rPr>
                <w:b w:val="0"/>
                <w:sz w:val="17"/>
              </w:rPr>
              <w:t>9</w:t>
            </w:r>
          </w:p>
        </w:tc>
      </w:tr>
      <w:tr>
        <w:trPr>
          <w:cantSplit/>
        </w:trPr>
        <w:tc>
          <w:tcPr>
            <w:tcW w:type="dxa" w:w="2880"/>
          </w:tcPr>
          <w:p>
            <w:pPr>
              <w:spacing w:after="20"/>
            </w:pPr>
            <w:r/>
            <w:r>
              <w:rPr>
                <w:b w:val="0"/>
                <w:sz w:val="17"/>
              </w:rPr>
              <w:t>Metrics / measures</w:t>
            </w:r>
          </w:p>
        </w:tc>
        <w:tc>
          <w:tcPr>
            <w:tcW w:type="dxa" w:w="3528"/>
          </w:tcPr>
          <w:p>
            <w:pPr>
              <w:spacing w:after="20"/>
            </w:pPr>
            <w:r/>
            <w:r>
              <w:rPr>
                <w:b w:val="0"/>
                <w:sz w:val="17"/>
              </w:rPr>
              <w:t>138 metrics</w:t>
            </w:r>
          </w:p>
        </w:tc>
        <w:tc>
          <w:tcPr>
            <w:tcW w:type="dxa" w:w="3528"/>
          </w:tcPr>
          <w:p>
            <w:pPr>
              <w:spacing w:after="20"/>
            </w:pPr>
            <w:r/>
            <w:r>
              <w:rPr>
                <w:b w:val="0"/>
                <w:sz w:val="17"/>
              </w:rPr>
              <w:t>0 measures</w:t>
            </w:r>
          </w:p>
        </w:tc>
      </w:tr>
      <w:tr>
        <w:trPr>
          <w:cantSplit/>
        </w:trPr>
        <w:tc>
          <w:tcPr>
            <w:tcW w:type="dxa" w:w="2880"/>
            <w:shd w:val="clear" w:fill="EEF4F8"/>
          </w:tcPr>
          <w:p>
            <w:pPr>
              <w:spacing w:after="20"/>
            </w:pPr>
            <w:r/>
            <w:r>
              <w:rPr>
                <w:b w:val="0"/>
                <w:sz w:val="17"/>
              </w:rPr>
              <w:t>Relationships</w:t>
            </w:r>
          </w:p>
        </w:tc>
        <w:tc>
          <w:tcPr>
            <w:tcW w:type="dxa" w:w="3528"/>
            <w:shd w:val="clear" w:fill="EEF4F8"/>
          </w:tcPr>
          <w:p>
            <w:pPr>
              <w:spacing w:after="20"/>
            </w:pPr>
            <w:r/>
            <w:r>
              <w:rPr>
                <w:b w:val="0"/>
                <w:sz w:val="17"/>
              </w:rPr>
              <w:t>44</w:t>
            </w:r>
          </w:p>
        </w:tc>
        <w:tc>
          <w:tcPr>
            <w:tcW w:type="dxa" w:w="3528"/>
            <w:shd w:val="clear" w:fill="EEF4F8"/>
          </w:tcPr>
          <w:p>
            <w:pPr>
              <w:spacing w:after="20"/>
            </w:pPr>
            <w:r/>
            <w:r>
              <w:rPr>
                <w:b w:val="0"/>
                <w:sz w:val="17"/>
              </w:rPr>
              <w:t>—</w:t>
            </w:r>
          </w:p>
        </w:tc>
      </w:tr>
      <w:tr>
        <w:trPr>
          <w:cantSplit/>
        </w:trPr>
        <w:tc>
          <w:tcPr>
            <w:tcW w:type="dxa" w:w="2880"/>
          </w:tcPr>
          <w:p>
            <w:pPr>
              <w:spacing w:after="20"/>
            </w:pPr>
            <w:r/>
            <w:r>
              <w:rPr>
                <w:b w:val="0"/>
                <w:sz w:val="17"/>
              </w:rPr>
              <w:t>Verified queries</w:t>
            </w:r>
          </w:p>
        </w:tc>
        <w:tc>
          <w:tcPr>
            <w:tcW w:type="dxa" w:w="3528"/>
          </w:tcPr>
          <w:p>
            <w:pPr>
              <w:spacing w:after="20"/>
            </w:pPr>
            <w:r/>
            <w:r>
              <w:rPr>
                <w:b w:val="0"/>
                <w:sz w:val="17"/>
              </w:rPr>
              <w:t>n/a</w:t>
            </w:r>
          </w:p>
        </w:tc>
        <w:tc>
          <w:tcPr>
            <w:tcW w:type="dxa" w:w="3528"/>
          </w:tcPr>
          <w:p>
            <w:pPr>
              <w:spacing w:after="20"/>
            </w:pPr>
            <w:r/>
            <w:r>
              <w:rPr>
                <w:b w:val="0"/>
                <w:sz w:val="17"/>
              </w:rPr>
              <w:t>0</w:t>
            </w:r>
          </w:p>
        </w:tc>
      </w:tr>
      <w:tr>
        <w:trPr>
          <w:cantSplit/>
        </w:trPr>
        <w:tc>
          <w:tcPr>
            <w:tcW w:type="dxa" w:w="2880"/>
            <w:shd w:val="clear" w:fill="EEF4F8"/>
          </w:tcPr>
          <w:p>
            <w:pPr>
              <w:spacing w:after="20"/>
            </w:pPr>
            <w:r/>
            <w:r>
              <w:rPr>
                <w:b w:val="0"/>
                <w:sz w:val="17"/>
              </w:rPr>
              <w:t>Read by</w:t>
            </w:r>
          </w:p>
        </w:tc>
        <w:tc>
          <w:tcPr>
            <w:tcW w:type="dxa" w:w="3528"/>
            <w:shd w:val="clear" w:fill="EEF4F8"/>
          </w:tcPr>
          <w:p>
            <w:pPr>
              <w:spacing w:after="20"/>
            </w:pPr>
            <w:r/>
            <w:r>
              <w:rPr>
                <w:b w:val="0"/>
                <w:sz w:val="17"/>
              </w:rPr>
              <w:t xml:space="preserve">direct </w:t>
            </w:r>
            <w:r>
              <w:rPr>
                <w:rFonts w:ascii="Consolas" w:hAnsi="Consolas"/>
                <w:b w:val="0"/>
                <w:color w:val="1B5E8C"/>
                <w:sz w:val="16"/>
              </w:rPr>
              <w:t>SEMANTIC_VIEW(...)</w:t>
            </w:r>
            <w:r>
              <w:rPr>
                <w:b w:val="0"/>
                <w:sz w:val="17"/>
              </w:rPr>
              <w:t xml:space="preserve"> SQL</w:t>
            </w:r>
          </w:p>
        </w:tc>
        <w:tc>
          <w:tcPr>
            <w:tcW w:type="dxa" w:w="3528"/>
            <w:shd w:val="clear" w:fill="EEF4F8"/>
          </w:tcPr>
          <w:p>
            <w:pPr>
              <w:spacing w:after="20"/>
            </w:pPr>
            <w:r/>
            <w:r>
              <w:rPr>
                <w:b w:val="0"/>
                <w:sz w:val="17"/>
              </w:rPr>
              <w:t>the Cortex Agent</w:t>
            </w:r>
          </w:p>
        </w:tc>
      </w:tr>
    </w:tbl>
    <w:p>
      <w:pPr>
        <w:spacing w:after="80"/>
      </w:pPr>
    </w:p>
    <w:p>
      <w:pPr>
        <w:spacing w:after="120"/>
      </w:pPr>
      <w:r>
        <w:rPr>
          <w:b/>
          <w:i w:val="0"/>
          <w:sz w:val="20"/>
        </w:rPr>
        <w:t>They carry the same model name.</w:t>
      </w:r>
      <w:r>
        <w:rPr>
          <w:b w:val="0"/>
          <w:i w:val="0"/>
          <w:sz w:val="20"/>
        </w:rPr>
        <w:t xml:space="preserve"> That is the first thing to internalise, because it is why the confusion described below is so easy to fall into.</w:t>
      </w:r>
    </w:p>
    <w:p>
      <w:pPr>
        <w:spacing w:before="80" w:after="160"/>
        <w:jc w:val="center"/>
      </w:pPr>
      <w:r>
        <w:rPr>
          <w:color w:val="C8D4DE"/>
          <w:sz w:val="12"/>
        </w:rPr>
        <w:t>──────────────────────────────────────────────────────────</w:t>
      </w:r>
    </w:p>
    <w:p>
      <w:pPr>
        <w:keepNext/>
        <w:spacing w:before="240" w:after="60"/>
        <w:outlineLvl w:val="1"/>
      </w:pPr>
      <w:r>
        <w:rPr>
          <w:b/>
          <w:color w:val="1B3A57"/>
          <w:sz w:val="23"/>
        </w:rPr>
        <w:t>The coverage asymmetry</w:t>
      </w:r>
    </w:p>
    <w:p>
      <w:pPr>
        <w:spacing w:after="120"/>
      </w:pPr>
      <w:r>
        <w:rPr>
          <w:b w:val="0"/>
          <w:i w:val="0"/>
          <w:sz w:val="20"/>
        </w:rPr>
        <w:t>6.4× the tables, 5.8× the dimensions, and all 138 metrics on the side the agent does not read.</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Ratio</w:t>
            </w:r>
          </w:p>
        </w:tc>
        <w:tc>
          <w:tcPr>
            <w:tcW w:type="dxa" w:w="7056"/>
            <w:shd w:val="clear" w:fill="1B3A57"/>
          </w:tcPr>
          <w:p>
            <w:pPr>
              <w:spacing w:after="20"/>
            </w:pPr>
            <w:r/>
            <w:r>
              <w:rPr>
                <w:b/>
                <w:color w:val="FFFFFF"/>
                <w:sz w:val="17"/>
              </w:rPr>
              <w:t>Semantic view : stage model</w:t>
            </w:r>
          </w:p>
        </w:tc>
      </w:tr>
      <w:tr>
        <w:trPr>
          <w:cantSplit/>
        </w:trPr>
        <w:tc>
          <w:tcPr>
            <w:tcW w:type="dxa" w:w="2880"/>
          </w:tcPr>
          <w:p>
            <w:pPr>
              <w:spacing w:after="20"/>
            </w:pPr>
            <w:r/>
            <w:r>
              <w:rPr>
                <w:b w:val="0"/>
                <w:sz w:val="17"/>
              </w:rPr>
              <w:t>Logical tables</w:t>
            </w:r>
          </w:p>
        </w:tc>
        <w:tc>
          <w:tcPr>
            <w:tcW w:type="dxa" w:w="7056"/>
          </w:tcPr>
          <w:p>
            <w:pPr>
              <w:spacing w:after="20"/>
            </w:pPr>
            <w:r/>
            <w:r>
              <w:rPr>
                <w:b w:val="0"/>
                <w:sz w:val="17"/>
              </w:rPr>
              <w:t>64 : 10</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369 : 64</w:t>
            </w:r>
          </w:p>
        </w:tc>
      </w:tr>
      <w:tr>
        <w:trPr>
          <w:cantSplit/>
        </w:trPr>
        <w:tc>
          <w:tcPr>
            <w:tcW w:type="dxa" w:w="2880"/>
          </w:tcPr>
          <w:p>
            <w:pPr>
              <w:spacing w:after="20"/>
            </w:pPr>
            <w:r/>
            <w:r>
              <w:rPr>
                <w:b w:val="0"/>
                <w:sz w:val="17"/>
              </w:rPr>
              <w:t>Facts</w:t>
            </w:r>
          </w:p>
        </w:tc>
        <w:tc>
          <w:tcPr>
            <w:tcW w:type="dxa" w:w="7056"/>
          </w:tcPr>
          <w:p>
            <w:pPr>
              <w:spacing w:after="20"/>
            </w:pPr>
            <w:r/>
            <w:r>
              <w:rPr>
                <w:b w:val="0"/>
                <w:sz w:val="17"/>
              </w:rPr>
              <w:t>69 : 9</w:t>
            </w:r>
          </w:p>
        </w:tc>
      </w:tr>
      <w:tr>
        <w:trPr>
          <w:cantSplit/>
        </w:trPr>
        <w:tc>
          <w:tcPr>
            <w:tcW w:type="dxa" w:w="2880"/>
            <w:shd w:val="clear" w:fill="EEF4F8"/>
          </w:tcPr>
          <w:p>
            <w:pPr>
              <w:spacing w:after="20"/>
            </w:pPr>
            <w:r/>
            <w:r>
              <w:rPr>
                <w:b w:val="0"/>
                <w:sz w:val="17"/>
              </w:rPr>
              <w:t>Metrics / measures</w:t>
            </w:r>
          </w:p>
        </w:tc>
        <w:tc>
          <w:tcPr>
            <w:tcW w:type="dxa" w:w="7056"/>
            <w:shd w:val="clear" w:fill="EEF4F8"/>
          </w:tcPr>
          <w:p>
            <w:pPr>
              <w:spacing w:after="20"/>
            </w:pPr>
            <w:r/>
            <w:r>
              <w:rPr>
                <w:b w:val="0"/>
                <w:sz w:val="17"/>
              </w:rPr>
              <w:t>138 : 0</w:t>
            </w:r>
          </w:p>
        </w:tc>
      </w:tr>
    </w:tbl>
    <w:p>
      <w:pPr>
        <w:spacing w:after="80"/>
      </w:pPr>
    </w:p>
    <w:p>
      <w:pPr>
        <w:keepNext/>
        <w:spacing w:before="160" w:after="40"/>
        <w:outlineLvl w:val="2"/>
      </w:pPr>
      <w:r>
        <w:rPr>
          <w:b/>
          <w:color w:val="29B5E8"/>
          <w:sz w:val="20"/>
        </w:rPr>
        <w:t>Why the semantic view is so large</w:t>
      </w:r>
    </w:p>
    <w:p>
      <w:pPr>
        <w:spacing w:after="120"/>
      </w:pPr>
      <w:r>
        <w:rPr>
          <w:b w:val="0"/>
          <w:i w:val="0"/>
          <w:sz w:val="20"/>
        </w:rPr>
        <w:t xml:space="preserve">64 logical tables exceeds the 14 objects in </w:t>
      </w:r>
      <w:r>
        <w:rPr>
          <w:rFonts w:ascii="Consolas" w:hAnsi="Consolas"/>
          <w:b w:val="0"/>
          <w:i w:val="0"/>
          <w:color w:val="1B5E8C"/>
          <w:sz w:val="19"/>
        </w:rPr>
        <w:t>SALES_360_L2</w:t>
      </w:r>
      <w:r>
        <w:rPr>
          <w:b w:val="0"/>
          <w:i w:val="0"/>
          <w:sz w:val="20"/>
        </w:rPr>
        <w:t>, so the view is reaching past L2 into L1 and the product master. That is where 369 dimensions comes from: 19 product master facets, each a wide SAP object, each retained column becoming a dimension.</w:t>
      </w:r>
    </w:p>
    <w:p>
      <w:pPr>
        <w:spacing w:after="120"/>
      </w:pPr>
      <w:r>
        <w:rPr>
          <w:b w:val="0"/>
          <w:i w:val="0"/>
          <w:sz w:val="20"/>
        </w:rPr>
        <w:t xml:space="preserve">Read 369 as what it is — a count of rows returned by </w:t>
      </w:r>
      <w:r>
        <w:rPr>
          <w:rFonts w:ascii="Consolas" w:hAnsi="Consolas"/>
          <w:b w:val="0"/>
          <w:i w:val="0"/>
          <w:color w:val="1B5E8C"/>
          <w:sz w:val="19"/>
        </w:rPr>
        <w:t>DESCRIBE SEMANTIC VIEW</w:t>
      </w:r>
      <w:r>
        <w:rPr>
          <w:b w:val="0"/>
          <w:i w:val="0"/>
          <w:sz w:val="20"/>
        </w:rPr>
        <w:t>, not a count of curated, documented, business-named dimensions. A wide SAP table contributes dozens of dimensions for the cost of being included. The 138 metrics are the part that represents deliberate modelling, and 44 declared relationships is a substantive join graph.</w:t>
      </w:r>
    </w:p>
    <w:p>
      <w:pPr>
        <w:keepNext/>
        <w:spacing w:before="160" w:after="40"/>
        <w:outlineLvl w:val="2"/>
      </w:pPr>
      <w:r>
        <w:rPr>
          <w:b/>
          <w:color w:val="29B5E8"/>
          <w:sz w:val="20"/>
        </w:rPr>
        <w:t>Why the stage model is small, and right to be</w:t>
      </w:r>
    </w:p>
    <w:p>
      <w:pPr>
        <w:spacing w:after="120"/>
      </w:pPr>
      <w:r>
        <w:rPr>
          <w:b w:val="0"/>
          <w:i w:val="0"/>
          <w:sz w:val="20"/>
        </w:rPr>
        <w:t xml:space="preserve">Its 10 tables are the commercial core: </w:t>
      </w:r>
      <w:r>
        <w:rPr>
          <w:rFonts w:ascii="Consolas" w:hAnsi="Consolas"/>
          <w:b w:val="0"/>
          <w:i w:val="0"/>
          <w:color w:val="1B5E8C"/>
          <w:sz w:val="19"/>
        </w:rPr>
        <w:t>SALESORDER</w:t>
      </w:r>
      <w:r>
        <w:rPr>
          <w:b w:val="0"/>
          <w:i w:val="0"/>
          <w:sz w:val="20"/>
        </w:rPr>
        <w:t xml:space="preserve">, </w:t>
      </w:r>
      <w:r>
        <w:rPr>
          <w:rFonts w:ascii="Consolas" w:hAnsi="Consolas"/>
          <w:b w:val="0"/>
          <w:i w:val="0"/>
          <w:color w:val="1B5E8C"/>
          <w:sz w:val="19"/>
        </w:rPr>
        <w:t>SALESORDERITEM</w:t>
      </w:r>
      <w:r>
        <w:rPr>
          <w:b w:val="0"/>
          <w:i w:val="0"/>
          <w:sz w:val="20"/>
        </w:rPr>
        <w:t xml:space="preserve">, </w:t>
      </w:r>
      <w:r>
        <w:rPr>
          <w:rFonts w:ascii="Consolas" w:hAnsi="Consolas"/>
          <w:b w:val="0"/>
          <w:i w:val="0"/>
          <w:color w:val="1B5E8C"/>
          <w:sz w:val="19"/>
        </w:rPr>
        <w:t>CUSTOMER</w:t>
      </w:r>
      <w:r>
        <w:rPr>
          <w:b w:val="0"/>
          <w:i w:val="0"/>
          <w:sz w:val="20"/>
        </w:rPr>
        <w:t xml:space="preserve">, </w:t>
      </w:r>
      <w:r>
        <w:rPr>
          <w:rFonts w:ascii="Consolas" w:hAnsi="Consolas"/>
          <w:b w:val="0"/>
          <w:i w:val="0"/>
          <w:color w:val="1B5E8C"/>
          <w:sz w:val="19"/>
        </w:rPr>
        <w:t>PRODUCT</w:t>
      </w:r>
      <w:r>
        <w:rPr>
          <w:b w:val="0"/>
          <w:i w:val="0"/>
          <w:sz w:val="20"/>
        </w:rPr>
        <w:t xml:space="preserve">, </w:t>
      </w:r>
      <w:r>
        <w:rPr>
          <w:rFonts w:ascii="Consolas" w:hAnsi="Consolas"/>
          <w:b w:val="0"/>
          <w:i w:val="0"/>
          <w:color w:val="1B5E8C"/>
          <w:sz w:val="19"/>
        </w:rPr>
        <w:t>PRODUCT_DESCRIPTION</w:t>
      </w:r>
      <w:r>
        <w:rPr>
          <w:b w:val="0"/>
          <w:i w:val="0"/>
          <w:sz w:val="20"/>
        </w:rPr>
        <w:t xml:space="preserve">, </w:t>
      </w:r>
      <w:r>
        <w:rPr>
          <w:rFonts w:ascii="Consolas" w:hAnsi="Consolas"/>
          <w:b w:val="0"/>
          <w:i w:val="0"/>
          <w:color w:val="1B5E8C"/>
          <w:sz w:val="19"/>
        </w:rPr>
        <w:t>PRODUCT_GROUP</w:t>
      </w:r>
      <w:r>
        <w:rPr>
          <w:b w:val="0"/>
          <w:i w:val="0"/>
          <w:sz w:val="20"/>
        </w:rPr>
        <w:t xml:space="preserve">, </w:t>
      </w:r>
      <w:r>
        <w:rPr>
          <w:rFonts w:ascii="Consolas" w:hAnsi="Consolas"/>
          <w:b w:val="0"/>
          <w:i w:val="0"/>
          <w:color w:val="1B5E8C"/>
          <w:sz w:val="19"/>
        </w:rPr>
        <w:t>PRODUCT_GROUP_TEXT</w:t>
      </w:r>
      <w:r>
        <w:rPr>
          <w:b w:val="0"/>
          <w:i w:val="0"/>
          <w:sz w:val="20"/>
        </w:rPr>
        <w:t xml:space="preserve">, </w:t>
      </w:r>
      <w:r>
        <w:rPr>
          <w:rFonts w:ascii="Consolas" w:hAnsi="Consolas"/>
          <w:b w:val="0"/>
          <w:i w:val="0"/>
          <w:color w:val="1B5E8C"/>
          <w:sz w:val="19"/>
        </w:rPr>
        <w:t>SFDC_OPPORTUNITY</w:t>
      </w:r>
      <w:r>
        <w:rPr>
          <w:b w:val="0"/>
          <w:i w:val="0"/>
          <w:sz w:val="20"/>
        </w:rPr>
        <w:t xml:space="preserve">, </w:t>
      </w:r>
      <w:r>
        <w:rPr>
          <w:rFonts w:ascii="Consolas" w:hAnsi="Consolas"/>
          <w:b w:val="0"/>
          <w:i w:val="0"/>
          <w:color w:val="1B5E8C"/>
          <w:sz w:val="19"/>
        </w:rPr>
        <w:t>ACTIVITY</w:t>
      </w:r>
      <w:r>
        <w:rPr>
          <w:b w:val="0"/>
          <w:i w:val="0"/>
          <w:sz w:val="20"/>
        </w:rPr>
        <w:t xml:space="preserve">, </w:t>
      </w:r>
      <w:r>
        <w:rPr>
          <w:rFonts w:ascii="Consolas" w:hAnsi="Consolas"/>
          <w:b w:val="0"/>
          <w:i w:val="0"/>
          <w:color w:val="1B5E8C"/>
          <w:sz w:val="19"/>
        </w:rPr>
        <w:t>SALES_REP</w:t>
      </w:r>
      <w:r>
        <w:rPr>
          <w:b w:val="0"/>
          <w:i w:val="0"/>
          <w:sz w:val="20"/>
        </w:rPr>
        <w:t>.</w:t>
      </w:r>
    </w:p>
    <w:p>
      <w:pPr>
        <w:spacing w:after="120"/>
      </w:pPr>
      <w:r>
        <w:rPr>
          <w:b w:val="0"/>
          <w:i w:val="0"/>
          <w:sz w:val="20"/>
        </w:rPr>
        <w:t xml:space="preserve">A Cortex Analyst model gets </w:t>
      </w:r>
      <w:r>
        <w:rPr>
          <w:b w:val="0"/>
          <w:i w:val="0"/>
          <w:sz w:val="20"/>
        </w:rPr>
        <w:t>worse</w:t>
      </w:r>
      <w:r>
        <w:rPr>
          <w:b w:val="0"/>
          <w:i w:val="0"/>
          <w:sz w:val="20"/>
        </w:rPr>
        <w:t xml:space="preserve"> as it gets wider. Every extra table is another candidate for the model to land a question on wrongly, and 369 dimensions of SAP plant-costing attributes would degrade every answer about pipeline. Ten focused tables is the better engineering decision, and the asymmetry is not a defect in the stage model — it is a defect in the </w:t>
      </w:r>
      <w:r>
        <w:rPr>
          <w:b w:val="0"/>
          <w:i w:val="0"/>
          <w:sz w:val="20"/>
        </w:rPr>
        <w:t>relationship</w:t>
      </w:r>
      <w:r>
        <w:rPr>
          <w:b w:val="0"/>
          <w:i w:val="0"/>
          <w:sz w:val="20"/>
        </w:rPr>
        <w:t xml:space="preserve"> between the two artefacts, which nothing documents.</w:t>
      </w:r>
    </w:p>
    <w:p>
      <w:pPr>
        <w:spacing w:after="120"/>
      </w:pPr>
      <w:r>
        <w:rPr>
          <w:b w:val="0"/>
          <w:i w:val="0"/>
          <w:sz w:val="20"/>
        </w:rPr>
        <w:t xml:space="preserve">The one omission that does hurt is domain coverage, not breadth: </w:t>
      </w:r>
      <w:r>
        <w:rPr>
          <w:rFonts w:ascii="Consolas" w:hAnsi="Consolas"/>
          <w:b w:val="0"/>
          <w:i w:val="0"/>
          <w:color w:val="1B5E8C"/>
          <w:sz w:val="19"/>
        </w:rPr>
        <w:t>SALES_FORECAST_VS_ACTUAL</w:t>
      </w:r>
      <w:r>
        <w:rPr>
          <w:b w:val="0"/>
          <w:i w:val="0"/>
          <w:sz w:val="20"/>
        </w:rPr>
        <w:t xml:space="preserve">, </w:t>
      </w:r>
      <w:r>
        <w:rPr>
          <w:rFonts w:ascii="Consolas" w:hAnsi="Consolas"/>
          <w:b w:val="0"/>
          <w:i w:val="0"/>
          <w:color w:val="1B5E8C"/>
          <w:sz w:val="19"/>
        </w:rPr>
        <w:t>ATTAINMENT_PREDICTIONS</w:t>
      </w:r>
      <w:r>
        <w:rPr>
          <w:b w:val="0"/>
          <w:i w:val="0"/>
          <w:sz w:val="20"/>
        </w:rPr>
        <w:t xml:space="preserve">, </w:t>
      </w:r>
      <w:r>
        <w:rPr>
          <w:rFonts w:ascii="Consolas" w:hAnsi="Consolas"/>
          <w:b w:val="0"/>
          <w:i w:val="0"/>
          <w:color w:val="1B5E8C"/>
          <w:sz w:val="19"/>
        </w:rPr>
        <w:t>SALES_REVENUE_PREDICTIONS</w:t>
      </w:r>
      <w:r>
        <w:rPr>
          <w:b w:val="0"/>
          <w:i w:val="0"/>
          <w:sz w:val="20"/>
        </w:rPr>
        <w:t xml:space="preserve"> and </w:t>
      </w:r>
      <w:r>
        <w:rPr>
          <w:rFonts w:ascii="Consolas" w:hAnsi="Consolas"/>
          <w:b w:val="0"/>
          <w:i w:val="0"/>
          <w:color w:val="1B5E8C"/>
          <w:sz w:val="19"/>
        </w:rPr>
        <w:t>SALES_REVENUE_FORECAST_METRICS</w:t>
      </w:r>
      <w:r>
        <w:rPr>
          <w:b w:val="0"/>
          <w:i w:val="0"/>
          <w:sz w:val="20"/>
        </w:rPr>
        <w:t xml:space="preserve"> are all absent, so the entire forecast domain is unreachable from natural language while the app devotes a page to it.</w:t>
      </w:r>
    </w:p>
    <w:p>
      <w:pPr>
        <w:spacing w:before="80" w:after="160"/>
        <w:jc w:val="center"/>
      </w:pPr>
      <w:r>
        <w:rPr>
          <w:color w:val="C8D4DE"/>
          <w:sz w:val="12"/>
        </w:rPr>
        <w:t>──────────────────────────────────────────────────────────</w:t>
      </w:r>
    </w:p>
    <w:p>
      <w:pPr>
        <w:keepNext/>
        <w:spacing w:before="240" w:after="60"/>
        <w:outlineLvl w:val="1"/>
      </w:pPr>
      <w:r>
        <w:rPr>
          <w:b/>
          <w:color w:val="1B3A57"/>
          <w:sz w:val="23"/>
        </w:rPr>
        <w:t>Which artefact to edit</w:t>
      </w:r>
    </w:p>
    <w:p>
      <w:pPr>
        <w:spacing w:after="120"/>
      </w:pPr>
      <w:r>
        <w:rPr>
          <w:b/>
          <w:i w:val="0"/>
          <w:sz w:val="20"/>
        </w:rPr>
        <w:t xml:space="preserve">The agent's single tool is </w:t>
      </w:r>
      <w:r>
        <w:rPr>
          <w:rFonts w:ascii="Consolas" w:hAnsi="Consolas"/>
          <w:b/>
          <w:i w:val="0"/>
          <w:color w:val="1B5E8C"/>
          <w:sz w:val="19"/>
        </w:rPr>
        <w:t>cortex_analyst_text_to_sql</w:t>
      </w:r>
      <w:r>
        <w:rPr>
          <w:b/>
          <w:i w:val="0"/>
          <w:sz w:val="20"/>
        </w:rPr>
        <w:t>. That binds to the stage model.</w:t>
      </w:r>
      <w:r>
        <w:rPr>
          <w:b w:val="0"/>
          <w:i w:val="0"/>
          <w:sz w:val="20"/>
        </w:rPr>
        <w:t xml:space="preserve"> Every natural-language question in this system is answered from the 10-table YAML. The 64-table semantic view answers nothing the agent is asked.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Symptom</w:t>
            </w:r>
          </w:p>
        </w:tc>
        <w:tc>
          <w:tcPr>
            <w:tcW w:type="dxa" w:w="3528"/>
            <w:shd w:val="clear" w:fill="1B3A57"/>
          </w:tcPr>
          <w:p>
            <w:pPr>
              <w:spacing w:after="20"/>
            </w:pPr>
            <w:r/>
            <w:r>
              <w:rPr>
                <w:b/>
                <w:color w:val="FFFFFF"/>
                <w:sz w:val="17"/>
              </w:rPr>
              <w:t>Artefact to edit</w:t>
            </w:r>
          </w:p>
        </w:tc>
        <w:tc>
          <w:tcPr>
            <w:tcW w:type="dxa" w:w="3528"/>
            <w:shd w:val="clear" w:fill="1B3A57"/>
          </w:tcPr>
          <w:p>
            <w:pPr>
              <w:spacing w:after="20"/>
            </w:pPr>
            <w:r/>
            <w:r>
              <w:rPr>
                <w:b/>
                <w:color w:val="FFFFFF"/>
                <w:sz w:val="17"/>
              </w:rPr>
              <w:t>Effect of editing the other one</w:t>
            </w:r>
          </w:p>
        </w:tc>
      </w:tr>
      <w:tr>
        <w:trPr>
          <w:cantSplit/>
        </w:trPr>
        <w:tc>
          <w:tcPr>
            <w:tcW w:type="dxa" w:w="2880"/>
          </w:tcPr>
          <w:p>
            <w:pPr>
              <w:spacing w:after="20"/>
            </w:pPr>
            <w:r/>
            <w:r>
              <w:rPr>
                <w:b w:val="0"/>
                <w:sz w:val="17"/>
              </w:rPr>
              <w:t>Agent answer wrong</w:t>
            </w:r>
          </w:p>
        </w:tc>
        <w:tc>
          <w:tcPr>
            <w:tcW w:type="dxa" w:w="3528"/>
          </w:tcPr>
          <w:p>
            <w:pPr>
              <w:spacing w:after="20"/>
            </w:pPr>
            <w:r/>
            <w:r>
              <w:rPr>
                <w:b/>
                <w:sz w:val="17"/>
              </w:rPr>
              <w:t>stage YAML</w:t>
            </w:r>
          </w:p>
        </w:tc>
        <w:tc>
          <w:tcPr>
            <w:tcW w:type="dxa" w:w="3528"/>
          </w:tcPr>
          <w:p>
            <w:pPr>
              <w:spacing w:after="20"/>
            </w:pPr>
            <w:r/>
            <w:r>
              <w:rPr>
                <w:b w:val="0"/>
                <w:sz w:val="17"/>
              </w:rPr>
              <w:t>none</w:t>
            </w:r>
          </w:p>
        </w:tc>
      </w:tr>
      <w:tr>
        <w:trPr>
          <w:cantSplit/>
        </w:trPr>
        <w:tc>
          <w:tcPr>
            <w:tcW w:type="dxa" w:w="2880"/>
            <w:shd w:val="clear" w:fill="EEF4F8"/>
          </w:tcPr>
          <w:p>
            <w:pPr>
              <w:spacing w:after="20"/>
            </w:pPr>
            <w:r/>
            <w:r>
              <w:rPr>
                <w:b w:val="0"/>
                <w:sz w:val="17"/>
              </w:rPr>
              <w:t>Agent cannot find a table</w:t>
            </w:r>
          </w:p>
        </w:tc>
        <w:tc>
          <w:tcPr>
            <w:tcW w:type="dxa" w:w="3528"/>
            <w:shd w:val="clear" w:fill="EEF4F8"/>
          </w:tcPr>
          <w:p>
            <w:pPr>
              <w:spacing w:after="20"/>
            </w:pPr>
            <w:r/>
            <w:r>
              <w:rPr>
                <w:b/>
                <w:sz w:val="17"/>
              </w:rPr>
              <w:t>stage YAML</w:t>
            </w:r>
            <w:r>
              <w:rPr>
                <w:b w:val="0"/>
                <w:sz w:val="17"/>
              </w:rPr>
              <w:t xml:space="preserve"> — add it</w:t>
            </w:r>
          </w:p>
        </w:tc>
        <w:tc>
          <w:tcPr>
            <w:tcW w:type="dxa" w:w="3528"/>
            <w:shd w:val="clear" w:fill="EEF4F8"/>
          </w:tcPr>
          <w:p>
            <w:pPr>
              <w:spacing w:after="20"/>
            </w:pPr>
            <w:r/>
            <w:r>
              <w:rPr>
                <w:b w:val="0"/>
                <w:sz w:val="17"/>
              </w:rPr>
              <w:t>none</w:t>
            </w:r>
          </w:p>
        </w:tc>
      </w:tr>
      <w:tr>
        <w:trPr>
          <w:cantSplit/>
        </w:trPr>
        <w:tc>
          <w:tcPr>
            <w:tcW w:type="dxa" w:w="2880"/>
          </w:tcPr>
          <w:p>
            <w:pPr>
              <w:spacing w:after="20"/>
            </w:pPr>
            <w:r/>
            <w:r>
              <w:rPr>
                <w:b w:val="0"/>
                <w:sz w:val="17"/>
              </w:rPr>
              <w:t xml:space="preserve">A metric definition is wrong in </w:t>
            </w:r>
            <w:r>
              <w:rPr>
                <w:rFonts w:ascii="Consolas" w:hAnsi="Consolas"/>
                <w:b w:val="0"/>
                <w:color w:val="1B5E8C"/>
                <w:sz w:val="16"/>
              </w:rPr>
              <w:t>SEMANTIC_VIEW(...)</w:t>
            </w:r>
            <w:r>
              <w:rPr>
                <w:b w:val="0"/>
                <w:sz w:val="17"/>
              </w:rPr>
              <w:t xml:space="preserve"> output</w:t>
            </w:r>
          </w:p>
        </w:tc>
        <w:tc>
          <w:tcPr>
            <w:tcW w:type="dxa" w:w="3528"/>
          </w:tcPr>
          <w:p>
            <w:pPr>
              <w:spacing w:after="20"/>
            </w:pPr>
            <w:r/>
            <w:r>
              <w:rPr>
                <w:b/>
                <w:sz w:val="17"/>
              </w:rPr>
              <w:t>semantic view</w:t>
            </w:r>
          </w:p>
        </w:tc>
        <w:tc>
          <w:tcPr>
            <w:tcW w:type="dxa" w:w="3528"/>
          </w:tcPr>
          <w:p>
            <w:pPr>
              <w:spacing w:after="20"/>
            </w:pPr>
            <w:r/>
            <w:r>
              <w:rPr>
                <w:b w:val="0"/>
                <w:sz w:val="17"/>
              </w:rPr>
              <w:t>none on the SQL path</w:t>
            </w:r>
          </w:p>
        </w:tc>
      </w:tr>
      <w:tr>
        <w:trPr>
          <w:cantSplit/>
        </w:trPr>
        <w:tc>
          <w:tcPr>
            <w:tcW w:type="dxa" w:w="2880"/>
            <w:shd w:val="clear" w:fill="EEF4F8"/>
          </w:tcPr>
          <w:p>
            <w:pPr>
              <w:spacing w:after="20"/>
            </w:pPr>
            <w:r/>
            <w:r>
              <w:rPr>
                <w:b w:val="0"/>
                <w:sz w:val="17"/>
              </w:rPr>
              <w:t xml:space="preserve">A join is wrong in </w:t>
            </w:r>
            <w:r>
              <w:rPr>
                <w:rFonts w:ascii="Consolas" w:hAnsi="Consolas"/>
                <w:b w:val="0"/>
                <w:color w:val="1B5E8C"/>
                <w:sz w:val="16"/>
              </w:rPr>
              <w:t>SEMANTIC_VIEW(...)</w:t>
            </w:r>
            <w:r>
              <w:rPr>
                <w:b w:val="0"/>
                <w:sz w:val="17"/>
              </w:rPr>
              <w:t xml:space="preserve"> output</w:t>
            </w:r>
          </w:p>
        </w:tc>
        <w:tc>
          <w:tcPr>
            <w:tcW w:type="dxa" w:w="3528"/>
            <w:shd w:val="clear" w:fill="EEF4F8"/>
          </w:tcPr>
          <w:p>
            <w:pPr>
              <w:spacing w:after="20"/>
            </w:pPr>
            <w:r/>
            <w:r>
              <w:rPr>
                <w:b/>
                <w:sz w:val="17"/>
              </w:rPr>
              <w:t>semantic view</w:t>
            </w:r>
            <w:r>
              <w:rPr>
                <w:b w:val="0"/>
                <w:sz w:val="17"/>
              </w:rPr>
              <w:t xml:space="preserve"> — 44 relationships live there</w:t>
            </w:r>
          </w:p>
        </w:tc>
        <w:tc>
          <w:tcPr>
            <w:tcW w:type="dxa" w:w="3528"/>
            <w:shd w:val="clear" w:fill="EEF4F8"/>
          </w:tcPr>
          <w:p>
            <w:pPr>
              <w:spacing w:after="20"/>
            </w:pPr>
            <w:r/>
            <w:r>
              <w:rPr>
                <w:b w:val="0"/>
                <w:sz w:val="17"/>
              </w:rPr>
              <w:t>none</w:t>
            </w:r>
          </w:p>
        </w:tc>
      </w:tr>
    </w:tbl>
    <w:p>
      <w:pPr>
        <w:spacing w:after="80"/>
      </w:pPr>
    </w:p>
    <w:p>
      <w:pPr>
        <w:keepNext/>
        <w:spacing w:before="160" w:after="40"/>
        <w:outlineLvl w:val="2"/>
      </w:pPr>
      <w:r>
        <w:rPr>
          <w:b/>
          <w:color w:val="29B5E8"/>
          <w:sz w:val="20"/>
        </w:rPr>
        <w:t>The failure mode, concretely</w:t>
      </w:r>
    </w:p>
    <w:p>
      <w:pPr>
        <w:spacing w:after="120"/>
      </w:pPr>
      <w:r>
        <w:rPr>
          <w:b w:val="0"/>
          <w:i w:val="0"/>
          <w:sz w:val="20"/>
        </w:rPr>
        <w:t xml:space="preserve">An agent answer is wrong. Someone goes looking for the semantic model. What they find is the semantic view: a first-class database object, discoverable through </w:t>
      </w:r>
      <w:r>
        <w:rPr>
          <w:rFonts w:ascii="Consolas" w:hAnsi="Consolas"/>
          <w:b w:val="0"/>
          <w:i w:val="0"/>
          <w:color w:val="1B5E8C"/>
          <w:sz w:val="19"/>
        </w:rPr>
        <w:t>SHOW SEMANTIC VIEWS</w:t>
      </w:r>
      <w:r>
        <w:rPr>
          <w:b w:val="0"/>
          <w:i w:val="0"/>
          <w:sz w:val="20"/>
        </w:rPr>
        <w:t xml:space="preserve">, carrying 138 metrics and 44 relationships, </w:t>
      </w:r>
      <w:r>
        <w:rPr>
          <w:b/>
          <w:i w:val="0"/>
          <w:sz w:val="20"/>
        </w:rPr>
        <w:t>and bearing the same model name as the stage file</w:t>
      </w:r>
      <w:r>
        <w:rPr>
          <w:b w:val="0"/>
          <w:i w:val="0"/>
          <w:sz w:val="20"/>
        </w:rPr>
        <w:t>. Every signal says this is the model.</w:t>
      </w:r>
    </w:p>
    <w:p>
      <w:pPr>
        <w:spacing w:after="120"/>
      </w:pPr>
      <w:r>
        <w:rPr>
          <w:b w:val="0"/>
          <w:i w:val="0"/>
          <w:sz w:val="20"/>
        </w:rPr>
        <w:t>They add the missing metric, redeploy, re-ask the question. Nothing changes. The answer is still wrong. The edit was correct and irrelevant, because the agent never read that object.</w:t>
      </w:r>
    </w:p>
    <w:p>
      <w:pPr>
        <w:spacing w:after="120"/>
      </w:pPr>
      <w:r>
        <w:rPr>
          <w:b w:val="0"/>
          <w:i w:val="0"/>
          <w:sz w:val="20"/>
        </w:rPr>
        <w:t>The reverse drift is quieter and worse. A definition fixed only in the stage YAML is invisible to anyone querying the semantic view, so the two descriptions of the same data diverge with nothing to reconcile them. With 138 metrics on one side and 0 measures on the other, they have already diverged as far as they can: there is not one metric definition shared between them.</w:t>
      </w:r>
    </w:p>
    <w:p>
      <w:pPr>
        <w:keepNext/>
        <w:spacing w:before="160" w:after="40"/>
        <w:outlineLvl w:val="2"/>
      </w:pPr>
      <w:r>
        <w:rPr>
          <w:b/>
          <w:color w:val="29B5E8"/>
          <w:sz w:val="20"/>
        </w:rPr>
        <w:t>What to do about it</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Action</w:t>
            </w:r>
          </w:p>
        </w:tc>
        <w:tc>
          <w:tcPr>
            <w:tcW w:type="dxa" w:w="3528"/>
            <w:shd w:val="clear" w:fill="1B3A57"/>
          </w:tcPr>
          <w:p>
            <w:pPr>
              <w:spacing w:after="20"/>
            </w:pPr>
            <w:r/>
            <w:r>
              <w:rPr>
                <w:b/>
                <w:color w:val="FFFFFF"/>
                <w:sz w:val="17"/>
              </w:rPr>
              <w:t>Effort</w:t>
            </w:r>
          </w:p>
        </w:tc>
        <w:tc>
          <w:tcPr>
            <w:tcW w:type="dxa" w:w="3528"/>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Add </w:t>
            </w:r>
            <w:r>
              <w:rPr>
                <w:rFonts w:ascii="Consolas" w:hAnsi="Consolas"/>
                <w:b w:val="0"/>
                <w:color w:val="1B5E8C"/>
                <w:sz w:val="16"/>
              </w:rPr>
              <w:t>SALES_FORECAST_VS_ACTUAL</w:t>
            </w:r>
            <w:r>
              <w:rPr>
                <w:b w:val="0"/>
                <w:sz w:val="17"/>
              </w:rPr>
              <w:t xml:space="preserve"> to the stage model</w:t>
            </w:r>
          </w:p>
        </w:tc>
        <w:tc>
          <w:tcPr>
            <w:tcW w:type="dxa" w:w="3528"/>
          </w:tcPr>
          <w:p>
            <w:pPr>
              <w:spacing w:after="20"/>
            </w:pPr>
            <w:r/>
            <w:r>
              <w:rPr>
                <w:b w:val="0"/>
                <w:sz w:val="17"/>
              </w:rPr>
              <w:t>one table</w:t>
            </w:r>
          </w:p>
        </w:tc>
        <w:tc>
          <w:tcPr>
            <w:tcW w:type="dxa" w:w="3528"/>
          </w:tcPr>
          <w:p>
            <w:pPr>
              <w:spacing w:after="20"/>
            </w:pPr>
            <w:r/>
            <w:r>
              <w:rPr>
                <w:b w:val="0"/>
                <w:sz w:val="17"/>
              </w:rPr>
              <w:t>unlocks the forecast domain for the agent</w:t>
            </w:r>
          </w:p>
        </w:tc>
      </w:tr>
      <w:tr>
        <w:trPr>
          <w:cantSplit/>
        </w:trPr>
        <w:tc>
          <w:tcPr>
            <w:tcW w:type="dxa" w:w="2880"/>
            <w:shd w:val="clear" w:fill="EEF4F8"/>
          </w:tcPr>
          <w:p>
            <w:pPr>
              <w:spacing w:after="20"/>
            </w:pPr>
            <w:r/>
            <w:r>
              <w:rPr>
                <w:b w:val="0"/>
                <w:sz w:val="17"/>
              </w:rPr>
              <w:t>Declare measures in the stage model for won value, lost value, win rate by both bases, attainment, average deal size</w:t>
            </w:r>
          </w:p>
        </w:tc>
        <w:tc>
          <w:tcPr>
            <w:tcW w:type="dxa" w:w="3528"/>
            <w:shd w:val="clear" w:fill="EEF4F8"/>
          </w:tcPr>
          <w:p>
            <w:pPr>
              <w:spacing w:after="20"/>
            </w:pPr>
            <w:r/>
            <w:r>
              <w:rPr>
                <w:b w:val="0"/>
                <w:sz w:val="17"/>
              </w:rPr>
              <w:t>hours</w:t>
            </w:r>
          </w:p>
        </w:tc>
        <w:tc>
          <w:tcPr>
            <w:tcW w:type="dxa" w:w="3528"/>
            <w:shd w:val="clear" w:fill="EEF4F8"/>
          </w:tcPr>
          <w:p>
            <w:pPr>
              <w:spacing w:after="20"/>
            </w:pPr>
            <w:r/>
            <w:r>
              <w:rPr>
                <w:b w:val="0"/>
                <w:sz w:val="17"/>
              </w:rPr>
              <w:t>stops the generated SQL inventing aggregations</w:t>
            </w:r>
          </w:p>
        </w:tc>
      </w:tr>
      <w:tr>
        <w:trPr>
          <w:cantSplit/>
        </w:trPr>
        <w:tc>
          <w:tcPr>
            <w:tcW w:type="dxa" w:w="2880"/>
          </w:tcPr>
          <w:p>
            <w:pPr>
              <w:spacing w:after="20"/>
            </w:pPr>
            <w:r/>
            <w:r>
              <w:rPr>
                <w:b w:val="0"/>
                <w:sz w:val="17"/>
              </w:rPr>
              <w:t>Add the verified queries listed in part 7 (07-analyst-and-agent.md#the-queries-to-add-first)</w:t>
            </w:r>
          </w:p>
        </w:tc>
        <w:tc>
          <w:tcPr>
            <w:tcW w:type="dxa" w:w="3528"/>
          </w:tcPr>
          <w:p>
            <w:pPr>
              <w:spacing w:after="20"/>
            </w:pPr>
            <w:r/>
            <w:r>
              <w:rPr>
                <w:b w:val="0"/>
                <w:sz w:val="17"/>
              </w:rPr>
              <w:t>hours</w:t>
            </w:r>
          </w:p>
        </w:tc>
        <w:tc>
          <w:tcPr>
            <w:tcW w:type="dxa" w:w="3528"/>
          </w:tcPr>
          <w:p>
            <w:pPr>
              <w:spacing w:after="20"/>
            </w:pPr>
            <w:r/>
            <w:r>
              <w:rPr>
                <w:b w:val="0"/>
                <w:sz w:val="17"/>
              </w:rPr>
              <w:t>pins correct answers to known questions</w:t>
            </w:r>
          </w:p>
        </w:tc>
      </w:tr>
      <w:tr>
        <w:trPr>
          <w:cantSplit/>
        </w:trPr>
        <w:tc>
          <w:tcPr>
            <w:tcW w:type="dxa" w:w="2880"/>
            <w:shd w:val="clear" w:fill="EEF4F8"/>
          </w:tcPr>
          <w:p>
            <w:pPr>
              <w:spacing w:after="20"/>
            </w:pPr>
            <w:r/>
            <w:r>
              <w:rPr>
                <w:b w:val="0"/>
                <w:sz w:val="17"/>
              </w:rPr>
              <w:t>Write a header comment in both artefacts naming the other and stating which the agent reads</w:t>
            </w:r>
          </w:p>
        </w:tc>
        <w:tc>
          <w:tcPr>
            <w:tcW w:type="dxa" w:w="3528"/>
            <w:shd w:val="clear" w:fill="EEF4F8"/>
          </w:tcPr>
          <w:p>
            <w:pPr>
              <w:spacing w:after="20"/>
            </w:pPr>
            <w:r/>
            <w:r>
              <w:rPr>
                <w:b w:val="0"/>
                <w:sz w:val="17"/>
              </w:rPr>
              <w:t>minutes</w:t>
            </w:r>
          </w:p>
        </w:tc>
        <w:tc>
          <w:tcPr>
            <w:tcW w:type="dxa" w:w="3528"/>
            <w:shd w:val="clear" w:fill="EEF4F8"/>
          </w:tcPr>
          <w:p>
            <w:pPr>
              <w:spacing w:after="20"/>
            </w:pPr>
            <w:r/>
            <w:r>
              <w:rPr>
                <w:b w:val="0"/>
                <w:sz w:val="17"/>
              </w:rPr>
              <w:t>prevents the wasted-edit cycle entirely</w:t>
            </w:r>
          </w:p>
        </w:tc>
      </w:tr>
    </w:tbl>
    <w:p>
      <w:pPr>
        <w:spacing w:after="80"/>
      </w:pPr>
    </w:p>
    <w:p>
      <w:pPr>
        <w:spacing w:after="120"/>
      </w:pPr>
      <w:r>
        <w:rPr>
          <w:b w:val="0"/>
          <w:i w:val="0"/>
          <w:sz w:val="20"/>
        </w:rPr>
        <w:t>The last one costs the least and prevents the most. Two comments.</w:t>
      </w:r>
    </w:p>
    <w:p>
      <w:pPr>
        <w:spacing w:before="80" w:after="160"/>
        <w:jc w:val="center"/>
      </w:pPr>
      <w:r>
        <w:rPr>
          <w:color w:val="C8D4DE"/>
          <w:sz w:val="12"/>
        </w:rPr>
        <w:t>──────────────────────────────────────────────────────────</w:t>
      </w:r>
    </w:p>
    <w:p>
      <w:pPr>
        <w:keepNext/>
        <w:spacing w:before="240" w:after="60"/>
        <w:outlineLvl w:val="1"/>
      </w:pPr>
      <w:r>
        <w:rPr>
          <w:b/>
          <w:color w:val="1B3A57"/>
          <w:sz w:val="23"/>
        </w:rPr>
        <w:t>What the semantic layer must encode</w:t>
      </w:r>
    </w:p>
    <w:p>
      <w:pPr>
        <w:spacing w:after="120"/>
      </w:pPr>
      <w:r>
        <w:rPr>
          <w:b w:val="0"/>
          <w:i w:val="0"/>
          <w:sz w:val="20"/>
        </w:rPr>
        <w:t>Three properties of this data are invisible in the schema, and each produces a confident wrong answer if the semantic layer does not carry it.</w:t>
      </w:r>
    </w:p>
    <w:p>
      <w:pPr>
        <w:keepNext/>
        <w:spacing w:before="160" w:after="40"/>
        <w:outlineLvl w:val="2"/>
      </w:pPr>
      <w:r>
        <w:rPr>
          <w:b/>
          <w:color w:val="29B5E8"/>
          <w:sz w:val="20"/>
        </w:rPr>
        <w:t>1. Win rate has two answers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By count — 289 won of 573 closed</w:t>
            </w:r>
          </w:p>
        </w:tc>
        <w:tc>
          <w:tcPr>
            <w:tcW w:type="dxa" w:w="7056"/>
          </w:tcPr>
          <w:p>
            <w:pPr>
              <w:spacing w:after="20"/>
            </w:pPr>
            <w:r/>
            <w:r>
              <w:rPr>
                <w:b/>
                <w:sz w:val="17"/>
              </w:rPr>
              <w:t>50.4%</w:t>
            </w:r>
          </w:p>
        </w:tc>
      </w:tr>
      <w:tr>
        <w:trPr>
          <w:cantSplit/>
        </w:trPr>
        <w:tc>
          <w:tcPr>
            <w:tcW w:type="dxa" w:w="2880"/>
            <w:shd w:val="clear" w:fill="EEF4F8"/>
          </w:tcPr>
          <w:p>
            <w:pPr>
              <w:spacing w:after="20"/>
            </w:pPr>
            <w:r/>
            <w:r>
              <w:rPr>
                <w:b w:val="0"/>
                <w:sz w:val="17"/>
              </w:rPr>
              <w:t>By value — $203,263,038 of $463,816,637</w:t>
            </w:r>
          </w:p>
        </w:tc>
        <w:tc>
          <w:tcPr>
            <w:tcW w:type="dxa" w:w="7056"/>
            <w:shd w:val="clear" w:fill="EEF4F8"/>
          </w:tcPr>
          <w:p>
            <w:pPr>
              <w:spacing w:after="20"/>
            </w:pPr>
            <w:r/>
            <w:r>
              <w:rPr>
                <w:b/>
                <w:sz w:val="17"/>
              </w:rPr>
              <w:t>43.8%</w:t>
            </w:r>
          </w:p>
        </w:tc>
      </w:tr>
    </w:tbl>
    <w:p>
      <w:pPr>
        <w:spacing w:after="80"/>
      </w:pPr>
    </w:p>
    <w:p>
      <w:pPr>
        <w:spacing w:after="120"/>
      </w:pPr>
      <w:r>
        <w:rPr>
          <w:b w:val="0"/>
          <w:i w:val="0"/>
          <w:sz w:val="20"/>
        </w:rPr>
        <w:t>Six and a half points apart, because the average lost deal ($917,442) is 1.30× the average won deal ($703,332).</w:t>
      </w:r>
    </w:p>
    <w:p>
      <w:pPr>
        <w:spacing w:after="120"/>
      </w:pPr>
      <w:r>
        <w:rPr>
          <w:b w:val="0"/>
          <w:i w:val="0"/>
          <w:sz w:val="20"/>
        </w:rPr>
        <w:t xml:space="preserve">A single metric named </w:t>
      </w:r>
      <w:r>
        <w:rPr>
          <w:rFonts w:ascii="Consolas" w:hAnsi="Consolas"/>
          <w:b w:val="0"/>
          <w:i w:val="0"/>
          <w:color w:val="1B5E8C"/>
          <w:sz w:val="19"/>
        </w:rPr>
        <w:t>WIN_RATE</w:t>
      </w:r>
      <w:r>
        <w:rPr>
          <w:b w:val="0"/>
          <w:i w:val="0"/>
          <w:sz w:val="20"/>
        </w:rPr>
        <w:t xml:space="preserve"> is a trap whichever basis it uses. Declare two, named so that neither can be mistaken for the other — </w:t>
      </w:r>
      <w:r>
        <w:rPr>
          <w:rFonts w:ascii="Consolas" w:hAnsi="Consolas"/>
          <w:b w:val="0"/>
          <w:i w:val="0"/>
          <w:color w:val="1B5E8C"/>
          <w:sz w:val="19"/>
        </w:rPr>
        <w:t>WIN_RATE_BY_COUNT</w:t>
      </w:r>
      <w:r>
        <w:rPr>
          <w:b w:val="0"/>
          <w:i w:val="0"/>
          <w:sz w:val="20"/>
        </w:rPr>
        <w:t xml:space="preserve"> and </w:t>
      </w:r>
      <w:r>
        <w:rPr>
          <w:rFonts w:ascii="Consolas" w:hAnsi="Consolas"/>
          <w:b w:val="0"/>
          <w:i w:val="0"/>
          <w:color w:val="1B5E8C"/>
          <w:sz w:val="19"/>
        </w:rPr>
        <w:t>WIN_RATE_BY_VALUE</w:t>
      </w:r>
      <w:r>
        <w:rPr>
          <w:b w:val="0"/>
          <w:i w:val="0"/>
          <w:sz w:val="20"/>
        </w:rPr>
        <w:t xml:space="preserve"> — and describe each in terms that make the distinction retrievable from a natural-language question. Currently the stage model declares zero measures, so it declares neither.</w:t>
      </w:r>
    </w:p>
    <w:p>
      <w:pPr>
        <w:keepNext/>
        <w:spacing w:before="160" w:after="40"/>
        <w:outlineLvl w:val="2"/>
      </w:pPr>
      <w:r>
        <w:rPr>
          <w:b/>
          <w:color w:val="29B5E8"/>
          <w:sz w:val="20"/>
        </w:rPr>
        <w:t>2. The date horizon has elapsed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Series</w:t>
            </w:r>
          </w:p>
        </w:tc>
        <w:tc>
          <w:tcPr>
            <w:tcW w:type="dxa" w:w="3528"/>
            <w:shd w:val="clear" w:fill="1B3A57"/>
          </w:tcPr>
          <w:p>
            <w:pPr>
              <w:spacing w:after="20"/>
            </w:pPr>
            <w:r/>
            <w:r>
              <w:rPr>
                <w:b/>
                <w:color w:val="FFFFFF"/>
                <w:sz w:val="17"/>
              </w:rPr>
              <w:t>Ends</w:t>
            </w:r>
          </w:p>
        </w:tc>
        <w:tc>
          <w:tcPr>
            <w:tcW w:type="dxa" w:w="3528"/>
            <w:shd w:val="clear" w:fill="1B3A57"/>
          </w:tcPr>
          <w:p>
            <w:pPr>
              <w:spacing w:after="20"/>
            </w:pPr>
            <w:r/>
            <w:r>
              <w:rPr>
                <w:b/>
                <w:color w:val="FFFFFF"/>
                <w:sz w:val="17"/>
              </w:rPr>
              <w:t>Relative to 2026-09-21</w:t>
            </w:r>
          </w:p>
        </w:tc>
      </w:tr>
      <w:tr>
        <w:trPr>
          <w:cantSplit/>
        </w:trPr>
        <w:tc>
          <w:tcPr>
            <w:tcW w:type="dxa" w:w="2880"/>
          </w:tcPr>
          <w:p>
            <w:pPr>
              <w:spacing w:after="20"/>
            </w:pPr>
            <w:r/>
            <w:r>
              <w:rPr>
                <w:b w:val="0"/>
                <w:sz w:val="17"/>
              </w:rPr>
              <w:t>Opportunity close dates</w:t>
            </w:r>
          </w:p>
        </w:tc>
        <w:tc>
          <w:tcPr>
            <w:tcW w:type="dxa" w:w="3528"/>
          </w:tcPr>
          <w:p>
            <w:pPr>
              <w:spacing w:after="20"/>
            </w:pPr>
            <w:r/>
            <w:r>
              <w:rPr>
                <w:b w:val="0"/>
                <w:sz w:val="17"/>
              </w:rPr>
              <w:t>2026-08-16</w:t>
            </w:r>
          </w:p>
        </w:tc>
        <w:tc>
          <w:tcPr>
            <w:tcW w:type="dxa" w:w="3528"/>
          </w:tcPr>
          <w:p>
            <w:pPr>
              <w:spacing w:after="20"/>
            </w:pPr>
            <w:r/>
            <w:r>
              <w:rPr>
                <w:b w:val="0"/>
                <w:sz w:val="17"/>
              </w:rPr>
              <w:t>past</w:t>
            </w:r>
          </w:p>
        </w:tc>
      </w:tr>
      <w:tr>
        <w:trPr>
          <w:cantSplit/>
        </w:trPr>
        <w:tc>
          <w:tcPr>
            <w:tcW w:type="dxa" w:w="2880"/>
            <w:shd w:val="clear" w:fill="EEF4F8"/>
          </w:tcPr>
          <w:p>
            <w:pPr>
              <w:spacing w:after="20"/>
            </w:pPr>
            <w:r/>
            <w:r>
              <w:rPr>
                <w:b w:val="0"/>
                <w:sz w:val="17"/>
              </w:rPr>
              <w:t>Sales order dates</w:t>
            </w:r>
          </w:p>
        </w:tc>
        <w:tc>
          <w:tcPr>
            <w:tcW w:type="dxa" w:w="3528"/>
            <w:shd w:val="clear" w:fill="EEF4F8"/>
          </w:tcPr>
          <w:p>
            <w:pPr>
              <w:spacing w:after="20"/>
            </w:pPr>
            <w:r/>
            <w:r>
              <w:rPr>
                <w:b w:val="0"/>
                <w:sz w:val="17"/>
              </w:rPr>
              <w:t>2025-12-31</w:t>
            </w:r>
          </w:p>
        </w:tc>
        <w:tc>
          <w:tcPr>
            <w:tcW w:type="dxa" w:w="3528"/>
            <w:shd w:val="clear" w:fill="EEF4F8"/>
          </w:tcPr>
          <w:p>
            <w:pPr>
              <w:spacing w:after="20"/>
            </w:pPr>
            <w:r/>
            <w:r>
              <w:rPr>
                <w:b w:val="0"/>
                <w:sz w:val="17"/>
              </w:rPr>
              <w:t>past</w:t>
            </w:r>
          </w:p>
        </w:tc>
      </w:tr>
      <w:tr>
        <w:trPr>
          <w:cantSplit/>
        </w:trPr>
        <w:tc>
          <w:tcPr>
            <w:tcW w:type="dxa" w:w="2880"/>
          </w:tcPr>
          <w:p>
            <w:pPr>
              <w:spacing w:after="20"/>
            </w:pPr>
            <w:r/>
            <w:r>
              <w:rPr>
                <w:b w:val="0"/>
                <w:sz w:val="17"/>
              </w:rPr>
              <w:t>Forecast periods</w:t>
            </w:r>
          </w:p>
        </w:tc>
        <w:tc>
          <w:tcPr>
            <w:tcW w:type="dxa" w:w="3528"/>
          </w:tcPr>
          <w:p>
            <w:pPr>
              <w:spacing w:after="20"/>
            </w:pPr>
            <w:r/>
            <w:r>
              <w:rPr>
                <w:b w:val="0"/>
                <w:sz w:val="17"/>
              </w:rPr>
              <w:t>2025-12-01</w:t>
            </w:r>
          </w:p>
        </w:tc>
        <w:tc>
          <w:tcPr>
            <w:tcW w:type="dxa" w:w="3528"/>
          </w:tcPr>
          <w:p>
            <w:pPr>
              <w:spacing w:after="20"/>
            </w:pPr>
            <w:r/>
            <w:r>
              <w:rPr>
                <w:b w:val="0"/>
                <w:sz w:val="17"/>
              </w:rPr>
              <w:t>past</w:t>
            </w:r>
          </w:p>
        </w:tc>
      </w:tr>
    </w:tbl>
    <w:p>
      <w:pPr>
        <w:spacing w:after="80"/>
      </w:pPr>
    </w:p>
    <w:p>
      <w:pPr>
        <w:spacing w:after="120"/>
      </w:pPr>
      <w:r>
        <w:rPr>
          <w:b w:val="0"/>
          <w:i w:val="0"/>
          <w:sz w:val="20"/>
        </w:rPr>
        <w:t>Zero of the 3,201 open opportunities have a future close date, and all $1,903,302,819 of open pipeline is past due.</w:t>
      </w:r>
    </w:p>
    <w:p>
      <w:pPr>
        <w:spacing w:after="120"/>
      </w:pPr>
      <w:r>
        <w:rPr>
          <w:b w:val="0"/>
          <w:i w:val="0"/>
          <w:sz w:val="20"/>
        </w:rPr>
        <w:t xml:space="preserve">An Analyst model that does not say so will generate </w:t>
      </w:r>
      <w:r>
        <w:rPr>
          <w:rFonts w:ascii="Consolas" w:hAnsi="Consolas"/>
          <w:b w:val="0"/>
          <w:i w:val="0"/>
          <w:color w:val="1B5E8C"/>
          <w:sz w:val="19"/>
        </w:rPr>
        <w:t>CURRENT_DATE()</w:t>
      </w:r>
      <w:r>
        <w:rPr>
          <w:b w:val="0"/>
          <w:i w:val="0"/>
          <w:sz w:val="20"/>
        </w:rPr>
        <w:t xml:space="preserve"> filters — the natural thing to generate — and return empty result sets. An empty result reads as "we have no pipeline", which is the opposite of what the data shows.</w:t>
      </w:r>
    </w:p>
    <w:p>
      <w:pPr>
        <w:spacing w:after="120"/>
      </w:pPr>
      <w:r>
        <w:rPr>
          <w:b w:val="0"/>
          <w:i w:val="0"/>
          <w:sz w:val="20"/>
        </w:rPr>
        <w:t xml:space="preserve">The semantic layer must encode that </w:t>
      </w:r>
      <w:r>
        <w:rPr>
          <w:b/>
          <w:i w:val="0"/>
          <w:sz w:val="20"/>
        </w:rPr>
        <w:t xml:space="preserve">"open" means </w:t>
      </w:r>
      <w:r>
        <w:rPr>
          <w:rFonts w:ascii="Consolas" w:hAnsi="Consolas"/>
          <w:b/>
          <w:i w:val="0"/>
          <w:color w:val="1B5E8C"/>
          <w:sz w:val="19"/>
        </w:rPr>
        <w:t>NOT IS_CLOSED</w:t>
      </w:r>
      <w:r>
        <w:rPr>
          <w:b/>
          <w:i w:val="0"/>
          <w:sz w:val="20"/>
        </w:rPr>
        <w:t>, not "closing in the future"</w:t>
      </w:r>
      <w:r>
        <w:rPr>
          <w:b w:val="0"/>
          <w:i w:val="0"/>
          <w:sz w:val="20"/>
        </w:rPr>
        <w:t>, and every verified query should use absolute dates.</w:t>
      </w:r>
    </w:p>
    <w:p>
      <w:pPr>
        <w:keepNext/>
        <w:spacing w:before="160" w:after="40"/>
        <w:outlineLvl w:val="2"/>
      </w:pPr>
      <w:r>
        <w:rPr>
          <w:b/>
          <w:color w:val="29B5E8"/>
          <w:sz w:val="20"/>
        </w:rPr>
        <w:t>3. Grains are not interchangeable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Object</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Window</w:t>
            </w:r>
          </w:p>
        </w:tc>
      </w:tr>
      <w:tr>
        <w:trPr>
          <w:cantSplit/>
        </w:trPr>
        <w:tc>
          <w:tcPr>
            <w:tcW w:type="dxa" w:w="2880"/>
          </w:tcPr>
          <w:p>
            <w:pPr>
              <w:spacing w:after="20"/>
            </w:pPr>
            <w:r/>
            <w:r>
              <w:rPr>
                <w:rFonts w:ascii="Consolas" w:hAnsi="Consolas"/>
                <w:b w:val="0"/>
                <w:color w:val="1B5E8C"/>
                <w:sz w:val="16"/>
              </w:rPr>
              <w:t>SFDC_OPPORTUNITY</w:t>
            </w:r>
          </w:p>
        </w:tc>
        <w:tc>
          <w:tcPr>
            <w:tcW w:type="dxa" w:w="3528"/>
          </w:tcPr>
          <w:p>
            <w:pPr>
              <w:spacing w:after="20"/>
            </w:pPr>
            <w:r/>
            <w:r>
              <w:rPr>
                <w:b w:val="0"/>
                <w:sz w:val="17"/>
              </w:rPr>
              <w:t>3,774</w:t>
            </w:r>
          </w:p>
        </w:tc>
        <w:tc>
          <w:tcPr>
            <w:tcW w:type="dxa" w:w="3528"/>
          </w:tcPr>
          <w:p>
            <w:pPr>
              <w:spacing w:after="20"/>
            </w:pPr>
            <w:r/>
            <w:r>
              <w:rPr>
                <w:b w:val="0"/>
                <w:sz w:val="17"/>
              </w:rPr>
              <w:t>2025-02-18 to 2026-08-16</w:t>
            </w:r>
          </w:p>
        </w:tc>
      </w:tr>
      <w:tr>
        <w:trPr>
          <w:cantSplit/>
        </w:trPr>
        <w:tc>
          <w:tcPr>
            <w:tcW w:type="dxa" w:w="2880"/>
            <w:shd w:val="clear" w:fill="EEF4F8"/>
          </w:tcPr>
          <w:p>
            <w:pPr>
              <w:spacing w:after="20"/>
            </w:pPr>
            <w:r/>
            <w:r>
              <w:rPr>
                <w:rFonts w:ascii="Consolas" w:hAnsi="Consolas"/>
                <w:b w:val="0"/>
                <w:color w:val="1B5E8C"/>
                <w:sz w:val="16"/>
              </w:rPr>
              <w:t>SALESORDER</w:t>
            </w:r>
          </w:p>
        </w:tc>
        <w:tc>
          <w:tcPr>
            <w:tcW w:type="dxa" w:w="3528"/>
            <w:shd w:val="clear" w:fill="EEF4F8"/>
          </w:tcPr>
          <w:p>
            <w:pPr>
              <w:spacing w:after="20"/>
            </w:pPr>
            <w:r/>
            <w:r>
              <w:rPr>
                <w:b w:val="0"/>
                <w:sz w:val="17"/>
              </w:rPr>
              <w:t>558,011</w:t>
            </w:r>
          </w:p>
        </w:tc>
        <w:tc>
          <w:tcPr>
            <w:tcW w:type="dxa" w:w="3528"/>
            <w:shd w:val="clear" w:fill="EEF4F8"/>
          </w:tcPr>
          <w:p>
            <w:pPr>
              <w:spacing w:after="20"/>
            </w:pPr>
            <w:r/>
            <w:r>
              <w:rPr>
                <w:b w:val="0"/>
                <w:sz w:val="17"/>
              </w:rPr>
              <w:t>2015-01-03 to 2025-12-31</w:t>
            </w:r>
          </w:p>
        </w:tc>
      </w:tr>
      <w:tr>
        <w:trPr>
          <w:cantSplit/>
        </w:trPr>
        <w:tc>
          <w:tcPr>
            <w:tcW w:type="dxa" w:w="2880"/>
          </w:tcPr>
          <w:p>
            <w:pPr>
              <w:spacing w:after="20"/>
            </w:pPr>
            <w:r/>
            <w:r>
              <w:rPr>
                <w:rFonts w:ascii="Consolas" w:hAnsi="Consolas"/>
                <w:b w:val="0"/>
                <w:color w:val="1B5E8C"/>
                <w:sz w:val="16"/>
              </w:rPr>
              <w:t>SALESORDERITEM</w:t>
            </w:r>
          </w:p>
        </w:tc>
        <w:tc>
          <w:tcPr>
            <w:tcW w:type="dxa" w:w="3528"/>
          </w:tcPr>
          <w:p>
            <w:pPr>
              <w:spacing w:after="20"/>
            </w:pPr>
            <w:r/>
            <w:r>
              <w:rPr>
                <w:b w:val="0"/>
                <w:sz w:val="17"/>
              </w:rPr>
              <w:t>735,305</w:t>
            </w:r>
          </w:p>
        </w:tc>
        <w:tc>
          <w:tcPr>
            <w:tcW w:type="dxa" w:w="3528"/>
          </w:tcPr>
          <w:p>
            <w:pPr>
              <w:spacing w:after="20"/>
            </w:pPr>
            <w:r/>
            <w:r>
              <w:rPr>
                <w:b w:val="0"/>
                <w:sz w:val="17"/>
              </w:rPr>
              <w:t>inherits the order window</w:t>
            </w:r>
          </w:p>
        </w:tc>
      </w:tr>
      <w:tr>
        <w:trPr>
          <w:cantSplit/>
        </w:trPr>
        <w:tc>
          <w:tcPr>
            <w:tcW w:type="dxa" w:w="2880"/>
            <w:shd w:val="clear" w:fill="EEF4F8"/>
          </w:tcPr>
          <w:p>
            <w:pPr>
              <w:spacing w:after="20"/>
            </w:pPr>
            <w:r/>
            <w:r>
              <w:rPr>
                <w:rFonts w:ascii="Consolas" w:hAnsi="Consolas"/>
                <w:b w:val="0"/>
                <w:color w:val="1B5E8C"/>
                <w:sz w:val="16"/>
              </w:rPr>
              <w:t>ACTIVITY</w:t>
            </w:r>
          </w:p>
        </w:tc>
        <w:tc>
          <w:tcPr>
            <w:tcW w:type="dxa" w:w="3528"/>
            <w:shd w:val="clear" w:fill="EEF4F8"/>
          </w:tcPr>
          <w:p>
            <w:pPr>
              <w:spacing w:after="20"/>
            </w:pPr>
            <w:r/>
            <w:r>
              <w:rPr>
                <w:b w:val="0"/>
                <w:sz w:val="17"/>
              </w:rPr>
              <w:t>35,313</w:t>
            </w:r>
          </w:p>
        </w:tc>
        <w:tc>
          <w:tcPr>
            <w:tcW w:type="dxa" w:w="3528"/>
            <w:shd w:val="clear" w:fill="EEF4F8"/>
          </w:tcPr>
          <w:p>
            <w:pPr>
              <w:spacing w:after="20"/>
            </w:pPr>
            <w:r/>
            <w:r>
              <w:rPr>
                <w:b w:val="0"/>
                <w:sz w:val="17"/>
              </w:rPr>
              <w:t>—</w:t>
            </w:r>
          </w:p>
        </w:tc>
      </w:tr>
      <w:tr>
        <w:trPr>
          <w:cantSplit/>
        </w:trPr>
        <w:tc>
          <w:tcPr>
            <w:tcW w:type="dxa" w:w="2880"/>
          </w:tcPr>
          <w:p>
            <w:pPr>
              <w:spacing w:after="20"/>
            </w:pPr>
            <w:r/>
            <w:r>
              <w:rPr>
                <w:rFonts w:ascii="Consolas" w:hAnsi="Consolas"/>
                <w:b w:val="0"/>
                <w:color w:val="1B5E8C"/>
                <w:sz w:val="16"/>
              </w:rPr>
              <w:t>SALES_REP</w:t>
            </w:r>
          </w:p>
        </w:tc>
        <w:tc>
          <w:tcPr>
            <w:tcW w:type="dxa" w:w="3528"/>
          </w:tcPr>
          <w:p>
            <w:pPr>
              <w:spacing w:after="20"/>
            </w:pPr>
            <w:r/>
            <w:r>
              <w:rPr>
                <w:b w:val="0"/>
                <w:sz w:val="17"/>
              </w:rPr>
              <w:t>8</w:t>
            </w:r>
          </w:p>
        </w:tc>
        <w:tc>
          <w:tcPr>
            <w:tcW w:type="dxa" w:w="3528"/>
          </w:tcPr>
          <w:p>
            <w:pPr>
              <w:spacing w:after="20"/>
            </w:pPr>
            <w:r/>
            <w:r>
              <w:rPr>
                <w:b w:val="0"/>
                <w:sz w:val="17"/>
              </w:rPr>
              <w:t>—</w:t>
            </w:r>
          </w:p>
        </w:tc>
      </w:tr>
    </w:tbl>
    <w:p>
      <w:pPr>
        <w:spacing w:after="80"/>
      </w:pPr>
    </w:p>
    <w:p>
      <w:pPr>
        <w:spacing w:after="120"/>
      </w:pPr>
      <w:r>
        <w:rPr>
          <w:b w:val="0"/>
          <w:i w:val="0"/>
          <w:sz w:val="20"/>
        </w:rPr>
        <w:t>Two orders of magnitude between opportunities and order lines, over windows that barely overlap — eighteen months of CRM against eleven years of orders. A count after joining them fans out; a chart of both on one axis compares different periods.</w:t>
      </w:r>
    </w:p>
    <w:p>
      <w:pPr>
        <w:spacing w:after="120"/>
      </w:pPr>
      <w:r>
        <w:rPr>
          <w:b w:val="0"/>
          <w:i w:val="0"/>
          <w:sz w:val="20"/>
        </w:rPr>
        <w:t>The 44 relationships declared on the semantic view are how this is meant to be handled on the SQL path. The stage model's join behaviour is governed by its own table definitions, which is another reason a fix applied to one artefact does not reach the other.</w:t>
      </w:r>
    </w:p>
    <w:p>
      <w:pPr>
        <w:spacing w:before="80" w:after="160"/>
        <w:jc w:val="center"/>
      </w:pPr>
      <w:r>
        <w:rPr>
          <w:color w:val="C8D4DE"/>
          <w:sz w:val="12"/>
        </w:rPr>
        <w:t>──────────────────────────────────────────────────────────</w:t>
      </w:r>
    </w:p>
    <w:p>
      <w:pPr>
        <w:keepNext/>
        <w:spacing w:before="240" w:after="60"/>
        <w:outlineLvl w:val="1"/>
      </w:pPr>
      <w:r>
        <w:rPr>
          <w:b/>
          <w:color w:val="1B3A57"/>
          <w:sz w:val="23"/>
        </w:rPr>
        <w:t>Attainment is variable, and the annual means hide it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Monthly attainment, minimum</w:t>
            </w:r>
          </w:p>
        </w:tc>
        <w:tc>
          <w:tcPr>
            <w:tcW w:type="dxa" w:w="7056"/>
          </w:tcPr>
          <w:p>
            <w:pPr>
              <w:spacing w:after="20"/>
            </w:pPr>
            <w:r/>
            <w:r>
              <w:rPr>
                <w:b/>
                <w:sz w:val="17"/>
              </w:rPr>
              <w:t>80.00%</w:t>
            </w:r>
          </w:p>
        </w:tc>
      </w:tr>
      <w:tr>
        <w:trPr>
          <w:cantSplit/>
        </w:trPr>
        <w:tc>
          <w:tcPr>
            <w:tcW w:type="dxa" w:w="2880"/>
            <w:shd w:val="clear" w:fill="EEF4F8"/>
          </w:tcPr>
          <w:p>
            <w:pPr>
              <w:spacing w:after="20"/>
            </w:pPr>
            <w:r/>
            <w:r>
              <w:rPr>
                <w:b w:val="0"/>
                <w:sz w:val="17"/>
              </w:rPr>
              <w:t>Monthly attainment, maximum</w:t>
            </w:r>
          </w:p>
        </w:tc>
        <w:tc>
          <w:tcPr>
            <w:tcW w:type="dxa" w:w="7056"/>
            <w:shd w:val="clear" w:fill="EEF4F8"/>
          </w:tcPr>
          <w:p>
            <w:pPr>
              <w:spacing w:after="20"/>
            </w:pPr>
            <w:r/>
            <w:r>
              <w:rPr>
                <w:b/>
                <w:sz w:val="17"/>
              </w:rPr>
              <w:t>117.65%</w:t>
            </w:r>
          </w:p>
        </w:tc>
      </w:tr>
      <w:tr>
        <w:trPr>
          <w:cantSplit/>
        </w:trPr>
        <w:tc>
          <w:tcPr>
            <w:tcW w:type="dxa" w:w="2880"/>
          </w:tcPr>
          <w:p>
            <w:pPr>
              <w:spacing w:after="20"/>
            </w:pPr>
            <w:r/>
            <w:r>
              <w:rPr>
                <w:b w:val="0"/>
                <w:sz w:val="17"/>
              </w:rPr>
              <w:t>Monthly standard deviation</w:t>
            </w:r>
          </w:p>
        </w:tc>
        <w:tc>
          <w:tcPr>
            <w:tcW w:type="dxa" w:w="7056"/>
          </w:tcPr>
          <w:p>
            <w:pPr>
              <w:spacing w:after="20"/>
            </w:pPr>
            <w:r/>
            <w:r>
              <w:rPr>
                <w:b/>
                <w:sz w:val="17"/>
              </w:rPr>
              <w:t>9.41 points</w:t>
            </w:r>
          </w:p>
        </w:tc>
      </w:tr>
      <w:tr>
        <w:trPr>
          <w:cantSplit/>
        </w:trPr>
        <w:tc>
          <w:tcPr>
            <w:tcW w:type="dxa" w:w="2880"/>
            <w:shd w:val="clear" w:fill="EEF4F8"/>
          </w:tcPr>
          <w:p>
            <w:pPr>
              <w:spacing w:after="20"/>
            </w:pPr>
            <w:r/>
            <w:r>
              <w:rPr>
                <w:b w:val="0"/>
                <w:sz w:val="17"/>
              </w:rPr>
              <w:t>FY2023 average</w:t>
            </w:r>
          </w:p>
        </w:tc>
        <w:tc>
          <w:tcPr>
            <w:tcW w:type="dxa" w:w="7056"/>
            <w:shd w:val="clear" w:fill="EEF4F8"/>
          </w:tcPr>
          <w:p>
            <w:pPr>
              <w:spacing w:after="20"/>
            </w:pPr>
            <w:r/>
            <w:r>
              <w:rPr>
                <w:b w:val="0"/>
                <w:sz w:val="17"/>
              </w:rPr>
              <w:t>95.30%</w:t>
            </w:r>
          </w:p>
        </w:tc>
      </w:tr>
      <w:tr>
        <w:trPr>
          <w:cantSplit/>
        </w:trPr>
        <w:tc>
          <w:tcPr>
            <w:tcW w:type="dxa" w:w="2880"/>
          </w:tcPr>
          <w:p>
            <w:pPr>
              <w:spacing w:after="20"/>
            </w:pPr>
            <w:r/>
            <w:r>
              <w:rPr>
                <w:b w:val="0"/>
                <w:sz w:val="17"/>
              </w:rPr>
              <w:t>FY2024 average</w:t>
            </w:r>
          </w:p>
        </w:tc>
        <w:tc>
          <w:tcPr>
            <w:tcW w:type="dxa" w:w="7056"/>
          </w:tcPr>
          <w:p>
            <w:pPr>
              <w:spacing w:after="20"/>
            </w:pPr>
            <w:r/>
            <w:r>
              <w:rPr>
                <w:b w:val="0"/>
                <w:sz w:val="17"/>
              </w:rPr>
              <w:t>95.34%</w:t>
            </w:r>
          </w:p>
        </w:tc>
      </w:tr>
      <w:tr>
        <w:trPr>
          <w:cantSplit/>
        </w:trPr>
        <w:tc>
          <w:tcPr>
            <w:tcW w:type="dxa" w:w="2880"/>
            <w:shd w:val="clear" w:fill="EEF4F8"/>
          </w:tcPr>
          <w:p>
            <w:pPr>
              <w:spacing w:after="20"/>
            </w:pPr>
            <w:r/>
            <w:r>
              <w:rPr>
                <w:b w:val="0"/>
                <w:sz w:val="17"/>
              </w:rPr>
              <w:t>FY2025 average</w:t>
            </w:r>
          </w:p>
        </w:tc>
        <w:tc>
          <w:tcPr>
            <w:tcW w:type="dxa" w:w="7056"/>
            <w:shd w:val="clear" w:fill="EEF4F8"/>
          </w:tcPr>
          <w:p>
            <w:pPr>
              <w:spacing w:after="20"/>
            </w:pPr>
            <w:r/>
            <w:r>
              <w:rPr>
                <w:b w:val="0"/>
                <w:sz w:val="17"/>
              </w:rPr>
              <w:t>95.44%</w:t>
            </w:r>
          </w:p>
        </w:tc>
      </w:tr>
    </w:tbl>
    <w:p>
      <w:pPr>
        <w:spacing w:after="80"/>
      </w:pPr>
    </w:p>
    <w:p>
      <w:pPr>
        <w:spacing w:after="120"/>
      </w:pPr>
      <w:r>
        <w:rPr>
          <w:b w:val="0"/>
          <w:i w:val="0"/>
          <w:sz w:val="20"/>
        </w:rPr>
        <w:t>The three annual averages sit within 0.14 points of each other, which looks flat and is not. Underneath them, months range from 20 points below quota to nearly 18 points above, with a 9.4-point standard deviation.</w:t>
      </w:r>
    </w:p>
    <w:p>
      <w:pPr>
        <w:spacing w:after="120"/>
      </w:pPr>
      <w:r>
        <w:rPr>
          <w:b/>
          <w:i w:val="0"/>
          <w:sz w:val="20"/>
        </w:rPr>
        <w:t>Do not describe attainment in this dataset as flat.</w:t>
      </w:r>
      <w:r>
        <w:rPr>
          <w:b w:val="0"/>
          <w:i w:val="0"/>
          <w:sz w:val="20"/>
        </w:rPr>
        <w:t xml:space="preserve"> The annual aggregation is flat; the data is not. A semantic layer that exposes only a yearly average destroys the only real signal in the series, and a demo that shows three indistinguishable annual bars is showing the aggregation rather than the business.</w:t>
      </w:r>
    </w:p>
    <w:p>
      <w:pPr>
        <w:spacing w:after="120"/>
      </w:pPr>
      <w:r>
        <w:rPr>
          <w:b w:val="0"/>
          <w:i w:val="0"/>
          <w:sz w:val="20"/>
        </w:rPr>
        <w:t>The forecast variance is consistently negative and consistently proportional:</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Fiscal year</w:t>
            </w:r>
          </w:p>
        </w:tc>
        <w:tc>
          <w:tcPr>
            <w:tcW w:type="dxa" w:w="2484"/>
            <w:shd w:val="clear" w:fill="1B3A57"/>
          </w:tcPr>
          <w:p>
            <w:pPr>
              <w:spacing w:after="20"/>
            </w:pPr>
            <w:r/>
            <w:r>
              <w:rPr>
                <w:b/>
                <w:color w:val="FFFFFF"/>
                <w:sz w:val="17"/>
              </w:rPr>
              <w:t>Forecast</w:t>
            </w:r>
          </w:p>
        </w:tc>
        <w:tc>
          <w:tcPr>
            <w:tcW w:type="dxa" w:w="2484"/>
            <w:shd w:val="clear" w:fill="1B3A57"/>
          </w:tcPr>
          <w:p>
            <w:pPr>
              <w:spacing w:after="20"/>
            </w:pPr>
            <w:r/>
            <w:r>
              <w:rPr>
                <w:b/>
                <w:color w:val="FFFFFF"/>
                <w:sz w:val="17"/>
              </w:rPr>
              <w:t>Actual</w:t>
            </w:r>
          </w:p>
        </w:tc>
        <w:tc>
          <w:tcPr>
            <w:tcW w:type="dxa" w:w="2484"/>
            <w:shd w:val="clear" w:fill="1B3A57"/>
          </w:tcPr>
          <w:p>
            <w:pPr>
              <w:spacing w:after="20"/>
            </w:pPr>
            <w:r/>
            <w:r>
              <w:rPr>
                <w:b/>
                <w:color w:val="FFFFFF"/>
                <w:sz w:val="17"/>
              </w:rPr>
              <w:t>Variance</w:t>
            </w:r>
          </w:p>
        </w:tc>
      </w:tr>
      <w:tr>
        <w:trPr>
          <w:cantSplit/>
        </w:trPr>
        <w:tc>
          <w:tcPr>
            <w:tcW w:type="dxa" w:w="2484"/>
          </w:tcPr>
          <w:p>
            <w:pPr>
              <w:spacing w:after="20"/>
            </w:pPr>
            <w:r/>
            <w:r>
              <w:rPr>
                <w:b w:val="0"/>
                <w:sz w:val="17"/>
              </w:rPr>
              <w:t>2023</w:t>
            </w:r>
          </w:p>
        </w:tc>
        <w:tc>
          <w:tcPr>
            <w:tcW w:type="dxa" w:w="2484"/>
          </w:tcPr>
          <w:p>
            <w:pPr>
              <w:spacing w:after="20"/>
            </w:pPr>
            <w:r/>
            <w:r>
              <w:rPr>
                <w:b w:val="0"/>
                <w:sz w:val="17"/>
              </w:rPr>
              <w:t>$10,278,488,722</w:t>
            </w:r>
          </w:p>
        </w:tc>
        <w:tc>
          <w:tcPr>
            <w:tcW w:type="dxa" w:w="2484"/>
          </w:tcPr>
          <w:p>
            <w:pPr>
              <w:spacing w:after="20"/>
            </w:pPr>
            <w:r/>
            <w:r>
              <w:rPr>
                <w:b w:val="0"/>
                <w:sz w:val="17"/>
              </w:rPr>
              <w:t>$9,695,336,023</w:t>
            </w:r>
          </w:p>
        </w:tc>
        <w:tc>
          <w:tcPr>
            <w:tcW w:type="dxa" w:w="2484"/>
          </w:tcPr>
          <w:p>
            <w:pPr>
              <w:spacing w:after="20"/>
            </w:pPr>
            <w:r/>
            <w:r>
              <w:rPr>
                <w:b w:val="0"/>
                <w:sz w:val="17"/>
              </w:rPr>
              <w:t>−$583,152,699</w:t>
            </w:r>
          </w:p>
        </w:tc>
      </w:tr>
      <w:tr>
        <w:trPr>
          <w:cantSplit/>
        </w:trPr>
        <w:tc>
          <w:tcPr>
            <w:tcW w:type="dxa" w:w="2484"/>
            <w:shd w:val="clear" w:fill="EEF4F8"/>
          </w:tcPr>
          <w:p>
            <w:pPr>
              <w:spacing w:after="20"/>
            </w:pPr>
            <w:r/>
            <w:r>
              <w:rPr>
                <w:b w:val="0"/>
                <w:sz w:val="17"/>
              </w:rPr>
              <w:t>2024</w:t>
            </w:r>
          </w:p>
        </w:tc>
        <w:tc>
          <w:tcPr>
            <w:tcW w:type="dxa" w:w="2484"/>
            <w:shd w:val="clear" w:fill="EEF4F8"/>
          </w:tcPr>
          <w:p>
            <w:pPr>
              <w:spacing w:after="20"/>
            </w:pPr>
            <w:r/>
            <w:r>
              <w:rPr>
                <w:b w:val="0"/>
                <w:sz w:val="17"/>
              </w:rPr>
              <w:t>$11,767,821,411</w:t>
            </w:r>
          </w:p>
        </w:tc>
        <w:tc>
          <w:tcPr>
            <w:tcW w:type="dxa" w:w="2484"/>
            <w:shd w:val="clear" w:fill="EEF4F8"/>
          </w:tcPr>
          <w:p>
            <w:pPr>
              <w:spacing w:after="20"/>
            </w:pPr>
            <w:r/>
            <w:r>
              <w:rPr>
                <w:b w:val="0"/>
                <w:sz w:val="17"/>
              </w:rPr>
              <w:t>$11,121,387,615</w:t>
            </w:r>
          </w:p>
        </w:tc>
        <w:tc>
          <w:tcPr>
            <w:tcW w:type="dxa" w:w="2484"/>
            <w:shd w:val="clear" w:fill="EEF4F8"/>
          </w:tcPr>
          <w:p>
            <w:pPr>
              <w:spacing w:after="20"/>
            </w:pPr>
            <w:r/>
            <w:r>
              <w:rPr>
                <w:b w:val="0"/>
                <w:sz w:val="17"/>
              </w:rPr>
              <w:t>−$646,433,796</w:t>
            </w:r>
          </w:p>
        </w:tc>
      </w:tr>
      <w:tr>
        <w:trPr>
          <w:cantSplit/>
        </w:trPr>
        <w:tc>
          <w:tcPr>
            <w:tcW w:type="dxa" w:w="2484"/>
          </w:tcPr>
          <w:p>
            <w:pPr>
              <w:spacing w:after="20"/>
            </w:pPr>
            <w:r/>
            <w:r>
              <w:rPr>
                <w:b w:val="0"/>
                <w:sz w:val="17"/>
              </w:rPr>
              <w:t>2025</w:t>
            </w:r>
          </w:p>
        </w:tc>
        <w:tc>
          <w:tcPr>
            <w:tcW w:type="dxa" w:w="2484"/>
          </w:tcPr>
          <w:p>
            <w:pPr>
              <w:spacing w:after="20"/>
            </w:pPr>
            <w:r/>
            <w:r>
              <w:rPr>
                <w:b w:val="0"/>
                <w:sz w:val="17"/>
              </w:rPr>
              <w:t>$12,250,556,433</w:t>
            </w:r>
          </w:p>
        </w:tc>
        <w:tc>
          <w:tcPr>
            <w:tcW w:type="dxa" w:w="2484"/>
          </w:tcPr>
          <w:p>
            <w:pPr>
              <w:spacing w:after="20"/>
            </w:pPr>
            <w:r/>
            <w:r>
              <w:rPr>
                <w:b w:val="0"/>
                <w:sz w:val="17"/>
              </w:rPr>
              <w:t>$11,561,838,549</w:t>
            </w:r>
          </w:p>
        </w:tc>
        <w:tc>
          <w:tcPr>
            <w:tcW w:type="dxa" w:w="2484"/>
          </w:tcPr>
          <w:p>
            <w:pPr>
              <w:spacing w:after="20"/>
            </w:pPr>
            <w:r/>
            <w:r>
              <w:rPr>
                <w:b w:val="0"/>
                <w:sz w:val="17"/>
              </w:rPr>
              <w:t>−$688,717,884</w:t>
            </w:r>
          </w:p>
        </w:tc>
      </w:tr>
    </w:tbl>
    <w:p>
      <w:pPr>
        <w:spacing w:after="80"/>
      </w:pPr>
    </w:p>
    <w:p>
      <w:pPr>
        <w:spacing w:after="120"/>
      </w:pPr>
      <w:r>
        <w:rPr>
          <w:b w:val="0"/>
          <w:i w:val="0"/>
          <w:sz w:val="20"/>
        </w:rPr>
        <w:t>Three years of forecasting roughly 4.6% high, growing in absolute terms with the forecast itself. A monthly grain is where that becomes usable; expose it.</w:t>
      </w:r>
    </w:p>
    <w:p>
      <w:pPr>
        <w:spacing w:after="120"/>
      </w:pPr>
      <w:r>
        <w:rPr>
          <w:b w:val="0"/>
          <w:i w:val="0"/>
          <w:sz w:val="20"/>
        </w:rPr>
        <w:t>Note that these are forecast-series figures, several times larger than the opportunity amounts. They are different populations at different grains and must not be compared to the $203,263,038 of won opportunity value.</w:t>
      </w:r>
    </w:p>
    <w:p>
      <w:pPr>
        <w:spacing w:before="80" w:after="160"/>
        <w:jc w:val="center"/>
      </w:pPr>
      <w:r>
        <w:rPr>
          <w:color w:val="C8D4DE"/>
          <w:sz w:val="12"/>
        </w:rPr>
        <w:t>──────────────────────────────────────────────────────────</w:t>
      </w:r>
    </w:p>
    <w:p>
      <w:pPr>
        <w:keepNext/>
        <w:spacing w:before="240" w:after="60"/>
        <w:outlineLvl w:val="1"/>
      </w:pPr>
      <w:r>
        <w:rPr>
          <w:b/>
          <w:color w:val="1B3A57"/>
          <w:sz w:val="23"/>
        </w:rPr>
        <w:t>Recommended end state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Change</w:t>
            </w:r>
          </w:p>
        </w:tc>
        <w:tc>
          <w:tcPr>
            <w:tcW w:type="dxa" w:w="7056"/>
            <w:shd w:val="clear" w:fill="1B3A57"/>
          </w:tcPr>
          <w:p>
            <w:pPr>
              <w:spacing w:after="20"/>
            </w:pPr>
            <w:r/>
            <w:r>
              <w:rPr>
                <w:b/>
                <w:color w:val="FFFFFF"/>
                <w:sz w:val="17"/>
              </w:rPr>
              <w:t>Artefact</w:t>
            </w:r>
          </w:p>
        </w:tc>
      </w:tr>
      <w:tr>
        <w:trPr>
          <w:cantSplit/>
        </w:trPr>
        <w:tc>
          <w:tcPr>
            <w:tcW w:type="dxa" w:w="2880"/>
          </w:tcPr>
          <w:p>
            <w:pPr>
              <w:spacing w:after="20"/>
            </w:pPr>
            <w:r/>
            <w:r>
              <w:rPr>
                <w:b w:val="0"/>
                <w:sz w:val="17"/>
              </w:rPr>
              <w:t>Header comment in each artefact naming the other and stating which the agent reads</w:t>
            </w:r>
          </w:p>
        </w:tc>
        <w:tc>
          <w:tcPr>
            <w:tcW w:type="dxa" w:w="7056"/>
          </w:tcPr>
          <w:p>
            <w:pPr>
              <w:spacing w:after="20"/>
            </w:pPr>
            <w:r/>
            <w:r>
              <w:rPr>
                <w:b w:val="0"/>
                <w:sz w:val="17"/>
              </w:rPr>
              <w:t>both</w:t>
            </w:r>
          </w:p>
        </w:tc>
      </w:tr>
      <w:tr>
        <w:trPr>
          <w:cantSplit/>
        </w:trPr>
        <w:tc>
          <w:tcPr>
            <w:tcW w:type="dxa" w:w="2880"/>
            <w:shd w:val="clear" w:fill="EEF4F8"/>
          </w:tcPr>
          <w:p>
            <w:pPr>
              <w:spacing w:after="20"/>
            </w:pPr>
            <w:r/>
            <w:r>
              <w:rPr>
                <w:rFonts w:ascii="Consolas" w:hAnsi="Consolas"/>
                <w:b w:val="0"/>
                <w:color w:val="1B5E8C"/>
                <w:sz w:val="16"/>
              </w:rPr>
              <w:t>SALES_FORECAST_VS_ACTUAL</w:t>
            </w:r>
            <w:r>
              <w:rPr>
                <w:b w:val="0"/>
                <w:sz w:val="17"/>
              </w:rPr>
              <w:t xml:space="preserve"> added as an 11th table</w:t>
            </w:r>
          </w:p>
        </w:tc>
        <w:tc>
          <w:tcPr>
            <w:tcW w:type="dxa" w:w="7056"/>
            <w:shd w:val="clear" w:fill="EEF4F8"/>
          </w:tcPr>
          <w:p>
            <w:pPr>
              <w:spacing w:after="20"/>
            </w:pPr>
            <w:r/>
            <w:r>
              <w:rPr>
                <w:b w:val="0"/>
                <w:sz w:val="17"/>
              </w:rPr>
              <w:t>stage model</w:t>
            </w:r>
          </w:p>
        </w:tc>
      </w:tr>
      <w:tr>
        <w:trPr>
          <w:cantSplit/>
        </w:trPr>
        <w:tc>
          <w:tcPr>
            <w:tcW w:type="dxa" w:w="2880"/>
          </w:tcPr>
          <w:p>
            <w:pPr>
              <w:spacing w:after="20"/>
            </w:pPr>
            <w:r/>
            <w:r>
              <w:rPr>
                <w:b w:val="0"/>
                <w:sz w:val="17"/>
              </w:rPr>
              <w:t>Measures declared: won value, lost value, win rate by count, win rate by value, average deal size by outcome, quota attainment</w:t>
            </w:r>
          </w:p>
        </w:tc>
        <w:tc>
          <w:tcPr>
            <w:tcW w:type="dxa" w:w="7056"/>
          </w:tcPr>
          <w:p>
            <w:pPr>
              <w:spacing w:after="20"/>
            </w:pPr>
            <w:r/>
            <w:r>
              <w:rPr>
                <w:b w:val="0"/>
                <w:sz w:val="17"/>
              </w:rPr>
              <w:t>stage model</w:t>
            </w:r>
          </w:p>
        </w:tc>
      </w:tr>
      <w:tr>
        <w:trPr>
          <w:cantSplit/>
        </w:trPr>
        <w:tc>
          <w:tcPr>
            <w:tcW w:type="dxa" w:w="2880"/>
            <w:shd w:val="clear" w:fill="EEF4F8"/>
          </w:tcPr>
          <w:p>
            <w:pPr>
              <w:spacing w:after="20"/>
            </w:pPr>
            <w:r/>
            <w:r>
              <w:rPr>
                <w:b w:val="0"/>
                <w:sz w:val="17"/>
              </w:rPr>
              <w:t>Verified queries 1–8 from part 7 (07-analyst-and-agent.md#the-queries-to-add-first)</w:t>
            </w:r>
          </w:p>
        </w:tc>
        <w:tc>
          <w:tcPr>
            <w:tcW w:type="dxa" w:w="7056"/>
            <w:shd w:val="clear" w:fill="EEF4F8"/>
          </w:tcPr>
          <w:p>
            <w:pPr>
              <w:spacing w:after="20"/>
            </w:pPr>
            <w:r/>
            <w:r>
              <w:rPr>
                <w:b w:val="0"/>
                <w:sz w:val="17"/>
              </w:rPr>
              <w:t>stage model</w:t>
            </w:r>
          </w:p>
        </w:tc>
      </w:tr>
      <w:tr>
        <w:trPr>
          <w:cantSplit/>
        </w:trPr>
        <w:tc>
          <w:tcPr>
            <w:tcW w:type="dxa" w:w="2880"/>
          </w:tcPr>
          <w:p>
            <w:pPr>
              <w:spacing w:after="20"/>
            </w:pPr>
            <w:r/>
            <w:r>
              <w:rPr>
                <w:b w:val="0"/>
                <w:sz w:val="17"/>
              </w:rPr>
              <w:t xml:space="preserve">"Open" documented as </w:t>
            </w:r>
            <w:r>
              <w:rPr>
                <w:rFonts w:ascii="Consolas" w:hAnsi="Consolas"/>
                <w:b w:val="0"/>
                <w:color w:val="1B5E8C"/>
                <w:sz w:val="16"/>
              </w:rPr>
              <w:t>NOT IS_CLOSED</w:t>
            </w:r>
            <w:r>
              <w:rPr>
                <w:b w:val="0"/>
                <w:sz w:val="17"/>
              </w:rPr>
              <w:t>, with the elapsed horizon stated</w:t>
            </w:r>
          </w:p>
        </w:tc>
        <w:tc>
          <w:tcPr>
            <w:tcW w:type="dxa" w:w="7056"/>
          </w:tcPr>
          <w:p>
            <w:pPr>
              <w:spacing w:after="20"/>
            </w:pPr>
            <w:r/>
            <w:r>
              <w:rPr>
                <w:b w:val="0"/>
                <w:sz w:val="17"/>
              </w:rPr>
              <w:t>both</w:t>
            </w:r>
          </w:p>
        </w:tc>
      </w:tr>
      <w:tr>
        <w:trPr>
          <w:cantSplit/>
        </w:trPr>
        <w:tc>
          <w:tcPr>
            <w:tcW w:type="dxa" w:w="2880"/>
            <w:shd w:val="clear" w:fill="EEF4F8"/>
          </w:tcPr>
          <w:p>
            <w:pPr>
              <w:spacing w:after="20"/>
            </w:pPr>
            <w:r/>
            <w:r>
              <w:rPr>
                <w:b w:val="0"/>
                <w:sz w:val="17"/>
              </w:rPr>
              <w:t>Attainment exposed at monthly grain, not only annual</w:t>
            </w:r>
          </w:p>
        </w:tc>
        <w:tc>
          <w:tcPr>
            <w:tcW w:type="dxa" w:w="7056"/>
            <w:shd w:val="clear" w:fill="EEF4F8"/>
          </w:tcPr>
          <w:p>
            <w:pPr>
              <w:spacing w:after="20"/>
            </w:pPr>
            <w:r/>
            <w:r>
              <w:rPr>
                <w:b w:val="0"/>
                <w:sz w:val="17"/>
              </w:rPr>
              <w:t>both</w:t>
            </w:r>
          </w:p>
        </w:tc>
      </w:tr>
    </w:tbl>
    <w:p>
      <w:pPr>
        <w:spacing w:after="80"/>
      </w:pPr>
    </w:p>
    <w:p>
      <w:pPr>
        <w:spacing w:after="120"/>
      </w:pPr>
      <w:r>
        <w:rPr>
          <w:b w:val="0"/>
          <w:i w:val="0"/>
          <w:sz w:val="20"/>
        </w:rPr>
        <w:t>None of this requires a change to L1, L2 or the application. The data is in place; what is missing is the description of what it means.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