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073D" w14:textId="77777777" w:rsidR="00BC4CD6" w:rsidRPr="00BC4CD6" w:rsidRDefault="00BC4CD6" w:rsidP="00BC4C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C4CD6">
        <w:rPr>
          <w:rFonts w:ascii="Times New Roman" w:eastAsia="Times New Roman" w:hAnsi="Times New Roman" w:cs="Times New Roman"/>
          <w:b/>
          <w:bCs/>
          <w:color w:val="auto"/>
          <w:sz w:val="27"/>
          <w:szCs w:val="27"/>
          <w:lang w:eastAsia="en-GB"/>
        </w:rPr>
        <w:t>Michael Brown</w:t>
      </w:r>
    </w:p>
    <w:p w14:paraId="6EC57D3C"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Contact Information:</w:t>
      </w:r>
    </w:p>
    <w:p w14:paraId="29624AFA" w14:textId="77777777" w:rsidR="00BC4CD6" w:rsidRPr="00BC4CD6" w:rsidRDefault="00BC4CD6" w:rsidP="00BC4C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Address:</w:t>
      </w:r>
      <w:r w:rsidRPr="00BC4CD6">
        <w:rPr>
          <w:rFonts w:ascii="Times New Roman" w:eastAsia="Times New Roman" w:hAnsi="Times New Roman" w:cs="Times New Roman"/>
          <w:color w:val="auto"/>
          <w:sz w:val="24"/>
          <w:szCs w:val="24"/>
          <w:lang w:eastAsia="en-GB"/>
        </w:rPr>
        <w:t xml:space="preserve"> 78 Elm Street, Manchester, M1 4JD, England</w:t>
      </w:r>
    </w:p>
    <w:p w14:paraId="3AE32D1E" w14:textId="77777777" w:rsidR="00BC4CD6" w:rsidRPr="00BC4CD6" w:rsidRDefault="00BC4CD6" w:rsidP="00BC4C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Email:</w:t>
      </w:r>
      <w:r w:rsidRPr="00BC4CD6">
        <w:rPr>
          <w:rFonts w:ascii="Times New Roman" w:eastAsia="Times New Roman" w:hAnsi="Times New Roman" w:cs="Times New Roman"/>
          <w:color w:val="auto"/>
          <w:sz w:val="24"/>
          <w:szCs w:val="24"/>
          <w:lang w:eastAsia="en-GB"/>
        </w:rPr>
        <w:t xml:space="preserve"> michael.brown@email.com</w:t>
      </w:r>
    </w:p>
    <w:p w14:paraId="384698A3" w14:textId="77777777" w:rsidR="00BC4CD6" w:rsidRPr="00BC4CD6" w:rsidRDefault="00BC4CD6" w:rsidP="00BC4C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Phone:</w:t>
      </w:r>
      <w:r w:rsidRPr="00BC4CD6">
        <w:rPr>
          <w:rFonts w:ascii="Times New Roman" w:eastAsia="Times New Roman" w:hAnsi="Times New Roman" w:cs="Times New Roman"/>
          <w:color w:val="auto"/>
          <w:sz w:val="24"/>
          <w:szCs w:val="24"/>
          <w:lang w:eastAsia="en-GB"/>
        </w:rPr>
        <w:t xml:space="preserve"> +44 7123 776655</w:t>
      </w:r>
    </w:p>
    <w:p w14:paraId="075A7CA9" w14:textId="77777777" w:rsidR="00BC4CD6" w:rsidRPr="00BC4CD6" w:rsidRDefault="00BC4CD6" w:rsidP="00BC4C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LinkedIn:</w:t>
      </w:r>
      <w:r w:rsidRPr="00BC4CD6">
        <w:rPr>
          <w:rFonts w:ascii="Times New Roman" w:eastAsia="Times New Roman" w:hAnsi="Times New Roman" w:cs="Times New Roman"/>
          <w:color w:val="auto"/>
          <w:sz w:val="24"/>
          <w:szCs w:val="24"/>
          <w:lang w:eastAsia="en-GB"/>
        </w:rPr>
        <w:t xml:space="preserve"> linkedin.com/in/michaelbrown</w:t>
      </w:r>
    </w:p>
    <w:p w14:paraId="356D11E6" w14:textId="77777777" w:rsidR="00BC4CD6" w:rsidRPr="00BC4CD6" w:rsidRDefault="00BC4CD6" w:rsidP="00BC4CD6">
      <w:pPr>
        <w:spacing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pict w14:anchorId="0B53A3BC">
          <v:rect id="_x0000_i1025" style="width:0;height:1.5pt" o:hralign="center" o:hrstd="t" o:hr="t" fillcolor="#a0a0a0" stroked="f"/>
        </w:pict>
      </w:r>
    </w:p>
    <w:p w14:paraId="3454685E"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Professional Summary:</w:t>
      </w:r>
    </w:p>
    <w:p w14:paraId="2534A063"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Seasoned Risk Assessment Associate with over 20 years of experience in the banking industry. Proficient in conducting comprehensive risk assessments, developing risk mitigation strategies, and ensuring compliance with regulatory standards. Known for strong analytical skills, attention to detail, and the ability to lead and collaborate effectively with cross-functional teams.</w:t>
      </w:r>
    </w:p>
    <w:p w14:paraId="6EF9BF51" w14:textId="77777777" w:rsidR="00BC4CD6" w:rsidRPr="00BC4CD6" w:rsidRDefault="00BC4CD6" w:rsidP="00BC4CD6">
      <w:pPr>
        <w:spacing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pict w14:anchorId="22BD2ADB">
          <v:rect id="_x0000_i1026" style="width:0;height:1.5pt" o:hralign="center" o:hrstd="t" o:hr="t" fillcolor="#a0a0a0" stroked="f"/>
        </w:pict>
      </w:r>
    </w:p>
    <w:p w14:paraId="7E2D7FF5"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Education:</w:t>
      </w:r>
    </w:p>
    <w:p w14:paraId="3292CBD2"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University of Manchester (Russell Group)</w:t>
      </w:r>
    </w:p>
    <w:p w14:paraId="44A20DD5" w14:textId="77777777" w:rsidR="00BC4CD6" w:rsidRPr="00BC4CD6" w:rsidRDefault="00BC4CD6" w:rsidP="00BC4CD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MSc Financial Risk Management, Distinction</w:t>
      </w:r>
    </w:p>
    <w:p w14:paraId="17F9765A" w14:textId="77777777" w:rsidR="00BC4CD6" w:rsidRPr="00BC4CD6" w:rsidRDefault="00BC4CD6" w:rsidP="00BC4CD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Graduated: 1999</w:t>
      </w:r>
    </w:p>
    <w:p w14:paraId="583E2998"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University of Birmingham (Russell Group)</w:t>
      </w:r>
    </w:p>
    <w:p w14:paraId="63CE9052" w14:textId="77777777" w:rsidR="00BC4CD6" w:rsidRPr="00BC4CD6" w:rsidRDefault="00BC4CD6" w:rsidP="00BC4CD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BSc Finance, Upper Second Class Honours</w:t>
      </w:r>
    </w:p>
    <w:p w14:paraId="06838D68" w14:textId="77777777" w:rsidR="00BC4CD6" w:rsidRPr="00BC4CD6" w:rsidRDefault="00BC4CD6" w:rsidP="00BC4CD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Graduated: 1997</w:t>
      </w:r>
    </w:p>
    <w:p w14:paraId="7FD48CAB" w14:textId="77777777" w:rsidR="00BC4CD6" w:rsidRPr="00BC4CD6" w:rsidRDefault="00BC4CD6" w:rsidP="00BC4CD6">
      <w:pPr>
        <w:spacing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pict w14:anchorId="4E21D8F1">
          <v:rect id="_x0000_i1027" style="width:0;height:1.5pt" o:hralign="center" o:hrstd="t" o:hr="t" fillcolor="#a0a0a0" stroked="f"/>
        </w:pict>
      </w:r>
    </w:p>
    <w:p w14:paraId="18257DAD"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Professional Experience:</w:t>
      </w:r>
    </w:p>
    <w:p w14:paraId="71530B92" w14:textId="77777777" w:rsidR="00BC4CD6" w:rsidRPr="00BC4CD6" w:rsidRDefault="00BC4CD6" w:rsidP="00BC4C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C4CD6">
        <w:rPr>
          <w:rFonts w:ascii="Times New Roman" w:eastAsia="Times New Roman" w:hAnsi="Times New Roman" w:cs="Times New Roman"/>
          <w:b/>
          <w:bCs/>
          <w:color w:val="auto"/>
          <w:sz w:val="24"/>
          <w:szCs w:val="24"/>
          <w:lang w:eastAsia="en-GB"/>
        </w:rPr>
        <w:t>HSBC Bank</w:t>
      </w:r>
    </w:p>
    <w:p w14:paraId="19EFC2F2"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Senior Risk Assessment Associate</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Manchester, UK</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2010 - Present</w:t>
      </w:r>
    </w:p>
    <w:p w14:paraId="1E168EC4"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 xml:space="preserve">Michael is responsible for leading the risk assessment team, conducting comprehensive risk assessments, and developing risk mitigation strategies. He analyzes financial data, prepares detailed risk reports, and ensures compliance with regulatory standards. Michael collaborates with various </w:t>
      </w:r>
      <w:r w:rsidRPr="00BC4CD6">
        <w:rPr>
          <w:rFonts w:ascii="Times New Roman" w:eastAsia="Times New Roman" w:hAnsi="Times New Roman" w:cs="Times New Roman"/>
          <w:color w:val="auto"/>
          <w:sz w:val="24"/>
          <w:szCs w:val="24"/>
          <w:lang w:eastAsia="en-GB"/>
        </w:rPr>
        <w:lastRenderedPageBreak/>
        <w:t>departments to enhance the bank’s risk management framework and has successfully led several risk management initiatives that have significantly reduced financial risk exposure.</w:t>
      </w:r>
    </w:p>
    <w:p w14:paraId="626FA84D" w14:textId="77777777" w:rsidR="00BC4CD6" w:rsidRPr="00BC4CD6" w:rsidRDefault="00BC4CD6" w:rsidP="00BC4C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Responsibilities:</w:t>
      </w:r>
    </w:p>
    <w:p w14:paraId="70988D87"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Lead the risk assessment team.</w:t>
      </w:r>
    </w:p>
    <w:p w14:paraId="277A620A"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Conduct comprehensive risk assessments.</w:t>
      </w:r>
    </w:p>
    <w:p w14:paraId="1D0FE5FD"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 and implement risk mitigation strategies.</w:t>
      </w:r>
    </w:p>
    <w:p w14:paraId="05F6D1E9"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Analyze financial data and prepare risk reports.</w:t>
      </w:r>
    </w:p>
    <w:p w14:paraId="68DF978E"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Ensure compliance with regulatory standards.</w:t>
      </w:r>
    </w:p>
    <w:p w14:paraId="64C62077" w14:textId="77777777" w:rsidR="00BC4CD6" w:rsidRPr="00BC4CD6" w:rsidRDefault="00BC4CD6" w:rsidP="00BC4CD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Collaborate with cross-functional teams to enhance risk management frameworks.</w:t>
      </w:r>
    </w:p>
    <w:p w14:paraId="1FD85511"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Achievements:</w:t>
      </w:r>
    </w:p>
    <w:p w14:paraId="49442CDD" w14:textId="77777777" w:rsidR="00BC4CD6" w:rsidRPr="00BC4CD6" w:rsidRDefault="00BC4CD6" w:rsidP="00BC4CD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Successfully led risk management initiatives that reduced financial risk exposure by 30%.</w:t>
      </w:r>
    </w:p>
    <w:p w14:paraId="577A0342" w14:textId="77777777" w:rsidR="00BC4CD6" w:rsidRPr="00BC4CD6" w:rsidRDefault="00BC4CD6" w:rsidP="00BC4CD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Developed a proprietary risk assessment model that improved the accuracy of risk identification.</w:t>
      </w:r>
    </w:p>
    <w:p w14:paraId="7EDBE72B" w14:textId="77777777" w:rsidR="00BC4CD6" w:rsidRPr="00BC4CD6" w:rsidRDefault="00BC4CD6" w:rsidP="00BC4C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C4CD6">
        <w:rPr>
          <w:rFonts w:ascii="Times New Roman" w:eastAsia="Times New Roman" w:hAnsi="Times New Roman" w:cs="Times New Roman"/>
          <w:b/>
          <w:bCs/>
          <w:color w:val="auto"/>
          <w:sz w:val="24"/>
          <w:szCs w:val="24"/>
          <w:lang w:eastAsia="en-GB"/>
        </w:rPr>
        <w:t>Lloyds Banking Group</w:t>
      </w:r>
    </w:p>
    <w:p w14:paraId="554067E9"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Risk Manager</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Manchester, UK</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2005 - 2010</w:t>
      </w:r>
    </w:p>
    <w:p w14:paraId="22DF4943"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At Lloyds Banking Group, Michael managed the risk assessment team, conducted risk assessments on various financial products, and developed risk management strategies. He ensured compliance with regulatory requirements, provided training and support to junior analysts, and prepared risk reports for senior management.</w:t>
      </w:r>
    </w:p>
    <w:p w14:paraId="6B0A4D3A" w14:textId="77777777" w:rsidR="00BC4CD6" w:rsidRPr="00BC4CD6" w:rsidRDefault="00BC4CD6" w:rsidP="00BC4CD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Responsibilities:</w:t>
      </w:r>
    </w:p>
    <w:p w14:paraId="0541ABA0"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Manage the risk assessment team.</w:t>
      </w:r>
    </w:p>
    <w:p w14:paraId="4361CED9"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Conduct risk assessments on financial products.</w:t>
      </w:r>
    </w:p>
    <w:p w14:paraId="1A493DBD"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 risk management strategies.</w:t>
      </w:r>
    </w:p>
    <w:p w14:paraId="06D24C83"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Ensure compliance with regulatory requirements.</w:t>
      </w:r>
    </w:p>
    <w:p w14:paraId="4CCDF0B1"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Provide training and support to junior analysts.</w:t>
      </w:r>
    </w:p>
    <w:p w14:paraId="13978B7F" w14:textId="77777777" w:rsidR="00BC4CD6" w:rsidRPr="00BC4CD6" w:rsidRDefault="00BC4CD6" w:rsidP="00BC4CD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Prepare risk reports for senior management.</w:t>
      </w:r>
    </w:p>
    <w:p w14:paraId="37CF4EC5"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Achievements:</w:t>
      </w:r>
    </w:p>
    <w:p w14:paraId="270DA7EC" w14:textId="77777777" w:rsidR="00BC4CD6" w:rsidRPr="00BC4CD6" w:rsidRDefault="00BC4CD6" w:rsidP="00BC4CD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Implemented a new risk management strategy that improved risk mitigation efforts.</w:t>
      </w:r>
    </w:p>
    <w:p w14:paraId="51EFBFBB" w14:textId="77777777" w:rsidR="00BC4CD6" w:rsidRPr="00BC4CD6" w:rsidRDefault="00BC4CD6" w:rsidP="00BC4CD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Enhanced the accuracy of risk assessments through the use of advanced data analysis techniques.</w:t>
      </w:r>
    </w:p>
    <w:p w14:paraId="759B4F35" w14:textId="77777777" w:rsidR="00BC4CD6" w:rsidRPr="00BC4CD6" w:rsidRDefault="00BC4CD6" w:rsidP="00BC4C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C4CD6">
        <w:rPr>
          <w:rFonts w:ascii="Times New Roman" w:eastAsia="Times New Roman" w:hAnsi="Times New Roman" w:cs="Times New Roman"/>
          <w:b/>
          <w:bCs/>
          <w:color w:val="auto"/>
          <w:sz w:val="24"/>
          <w:szCs w:val="24"/>
          <w:lang w:eastAsia="en-GB"/>
        </w:rPr>
        <w:t>NatWest Group</w:t>
      </w:r>
    </w:p>
    <w:p w14:paraId="623AA222"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lastRenderedPageBreak/>
        <w:t>Senior Risk Analyst</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Manchester, UK</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2000 - 2005</w:t>
      </w:r>
    </w:p>
    <w:p w14:paraId="7E6AD22E"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In his role at NatWest Group, Michael conducted detailed risk assessments, analyzed financial data, and developed risk mitigation strategies. He collaborated with various departments to ensure compliance with regulatory standards and supported the preparation of risk reports for senior management.</w:t>
      </w:r>
    </w:p>
    <w:p w14:paraId="630E3B20" w14:textId="77777777" w:rsidR="00BC4CD6" w:rsidRPr="00BC4CD6" w:rsidRDefault="00BC4CD6" w:rsidP="00BC4CD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Responsibilities:</w:t>
      </w:r>
    </w:p>
    <w:p w14:paraId="33FF23C0" w14:textId="77777777" w:rsidR="00BC4CD6" w:rsidRPr="00BC4CD6" w:rsidRDefault="00BC4CD6" w:rsidP="00BC4CD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Conduct detailed risk assessments.</w:t>
      </w:r>
    </w:p>
    <w:p w14:paraId="5E0B5085" w14:textId="77777777" w:rsidR="00BC4CD6" w:rsidRPr="00BC4CD6" w:rsidRDefault="00BC4CD6" w:rsidP="00BC4CD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Analyze financial data to identify potential risks.</w:t>
      </w:r>
    </w:p>
    <w:p w14:paraId="731CDB00" w14:textId="77777777" w:rsidR="00BC4CD6" w:rsidRPr="00BC4CD6" w:rsidRDefault="00BC4CD6" w:rsidP="00BC4CD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 risk mitigation strategies.</w:t>
      </w:r>
    </w:p>
    <w:p w14:paraId="350A834A" w14:textId="77777777" w:rsidR="00BC4CD6" w:rsidRPr="00BC4CD6" w:rsidRDefault="00BC4CD6" w:rsidP="00BC4CD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Collaborate with various departments to ensure regulatory compliance.</w:t>
      </w:r>
    </w:p>
    <w:p w14:paraId="6F5B841F" w14:textId="77777777" w:rsidR="00BC4CD6" w:rsidRPr="00BC4CD6" w:rsidRDefault="00BC4CD6" w:rsidP="00BC4CD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Support the preparation of risk reports for senior management.</w:t>
      </w:r>
    </w:p>
    <w:p w14:paraId="24E89C17"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Achievements:</w:t>
      </w:r>
    </w:p>
    <w:p w14:paraId="0AB8D788" w14:textId="77777777" w:rsidR="00BC4CD6" w:rsidRPr="00BC4CD6" w:rsidRDefault="00BC4CD6" w:rsidP="00BC4CD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Developed a comprehensive risk assessment framework that became the standard across multiple departments.</w:t>
      </w:r>
    </w:p>
    <w:p w14:paraId="70312038" w14:textId="77777777" w:rsidR="00BC4CD6" w:rsidRPr="00BC4CD6" w:rsidRDefault="00BC4CD6" w:rsidP="00BC4CD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Successfully identified and mitigated several high-profile financial risks.</w:t>
      </w:r>
    </w:p>
    <w:p w14:paraId="27ADFDCE" w14:textId="77777777" w:rsidR="00BC4CD6" w:rsidRPr="00BC4CD6" w:rsidRDefault="00BC4CD6" w:rsidP="00BC4C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C4CD6">
        <w:rPr>
          <w:rFonts w:ascii="Times New Roman" w:eastAsia="Times New Roman" w:hAnsi="Times New Roman" w:cs="Times New Roman"/>
          <w:b/>
          <w:bCs/>
          <w:color w:val="auto"/>
          <w:sz w:val="24"/>
          <w:szCs w:val="24"/>
          <w:lang w:eastAsia="en-GB"/>
        </w:rPr>
        <w:t>Santander UK</w:t>
      </w:r>
    </w:p>
    <w:p w14:paraId="58EE8C3F"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Risk Analyst</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Manchester, UK</w:t>
      </w:r>
      <w:r w:rsidRPr="00BC4CD6">
        <w:rPr>
          <w:rFonts w:ascii="Times New Roman" w:eastAsia="Times New Roman" w:hAnsi="Times New Roman" w:cs="Times New Roman"/>
          <w:color w:val="auto"/>
          <w:sz w:val="24"/>
          <w:szCs w:val="24"/>
          <w:lang w:eastAsia="en-GB"/>
        </w:rPr>
        <w:br/>
      </w:r>
      <w:r w:rsidRPr="00BC4CD6">
        <w:rPr>
          <w:rFonts w:ascii="Times New Roman" w:eastAsia="Times New Roman" w:hAnsi="Times New Roman" w:cs="Times New Roman"/>
          <w:i/>
          <w:iCs/>
          <w:color w:val="auto"/>
          <w:sz w:val="24"/>
          <w:szCs w:val="24"/>
          <w:lang w:eastAsia="en-GB"/>
        </w:rPr>
        <w:t>1997 - 2000</w:t>
      </w:r>
    </w:p>
    <w:p w14:paraId="52872082"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As a Risk Analyst at Santander UK, Michael conducted risk assessments, analyzed financial data, and developed risk mitigation strategies. He ensured compliance with regulatory requirements and supported senior analysts in preparing risk reports and presentations for management.</w:t>
      </w:r>
    </w:p>
    <w:p w14:paraId="24F6E9FA" w14:textId="77777777" w:rsidR="00BC4CD6" w:rsidRPr="00BC4CD6" w:rsidRDefault="00BC4CD6" w:rsidP="00BC4C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Responsibilities:</w:t>
      </w:r>
    </w:p>
    <w:p w14:paraId="2F7AF1FD" w14:textId="77777777" w:rsidR="00BC4CD6" w:rsidRPr="00BC4CD6" w:rsidRDefault="00BC4CD6" w:rsidP="00BC4CD6">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Conduct risk assessments.</w:t>
      </w:r>
    </w:p>
    <w:p w14:paraId="1AA24C68" w14:textId="77777777" w:rsidR="00BC4CD6" w:rsidRPr="00BC4CD6" w:rsidRDefault="00BC4CD6" w:rsidP="00BC4CD6">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Analyze financial data.</w:t>
      </w:r>
    </w:p>
    <w:p w14:paraId="5F59EEEC" w14:textId="77777777" w:rsidR="00BC4CD6" w:rsidRPr="00BC4CD6" w:rsidRDefault="00BC4CD6" w:rsidP="00BC4CD6">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Develop risk mitigation strategies.</w:t>
      </w:r>
    </w:p>
    <w:p w14:paraId="182FB5F8" w14:textId="77777777" w:rsidR="00BC4CD6" w:rsidRPr="00BC4CD6" w:rsidRDefault="00BC4CD6" w:rsidP="00BC4CD6">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Ensure compliance with regulatory requirements.</w:t>
      </w:r>
    </w:p>
    <w:p w14:paraId="7964A396" w14:textId="77777777" w:rsidR="00BC4CD6" w:rsidRPr="00BC4CD6" w:rsidRDefault="00BC4CD6" w:rsidP="00BC4CD6">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Support senior analysts in preparing risk reports and presentations.</w:t>
      </w:r>
    </w:p>
    <w:p w14:paraId="24E4B00C"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Key Achievements:</w:t>
      </w:r>
    </w:p>
    <w:p w14:paraId="74428E41" w14:textId="77777777" w:rsidR="00BC4CD6" w:rsidRPr="00BC4CD6" w:rsidRDefault="00BC4CD6" w:rsidP="00BC4CD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Contributed to the development of a comprehensive risk management strategy.</w:t>
      </w:r>
    </w:p>
    <w:p w14:paraId="385841E9" w14:textId="77777777" w:rsidR="00BC4CD6" w:rsidRPr="00BC4CD6" w:rsidRDefault="00BC4CD6" w:rsidP="00BC4CD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Implemented new risk assessment techniques that improved the accuracy of financial risk identification.</w:t>
      </w:r>
    </w:p>
    <w:p w14:paraId="2CE54982" w14:textId="77777777" w:rsidR="00BC4CD6" w:rsidRPr="00BC4CD6" w:rsidRDefault="00BC4CD6" w:rsidP="00BC4CD6">
      <w:pPr>
        <w:spacing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pict w14:anchorId="038C7709">
          <v:rect id="_x0000_i1028" style="width:0;height:1.5pt" o:hralign="center" o:hrstd="t" o:hr="t" fillcolor="#a0a0a0" stroked="f"/>
        </w:pict>
      </w:r>
    </w:p>
    <w:p w14:paraId="7341CD1A"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lastRenderedPageBreak/>
        <w:t>Skills:</w:t>
      </w:r>
    </w:p>
    <w:p w14:paraId="3E664639"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Risk Assessment</w:t>
      </w:r>
    </w:p>
    <w:p w14:paraId="74A0C235"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Financial Data Analysis</w:t>
      </w:r>
    </w:p>
    <w:p w14:paraId="564772B9"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Regulatory Compliance</w:t>
      </w:r>
    </w:p>
    <w:p w14:paraId="0E090CA2"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Risk Mitigation Strategies</w:t>
      </w:r>
    </w:p>
    <w:p w14:paraId="0C366C23"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Data Analysis</w:t>
      </w:r>
    </w:p>
    <w:p w14:paraId="1EDF208E"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Report Writing</w:t>
      </w:r>
    </w:p>
    <w:p w14:paraId="70F0B702"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Stakeholder Collaboration</w:t>
      </w:r>
    </w:p>
    <w:p w14:paraId="5DA9B63F" w14:textId="77777777" w:rsidR="00BC4CD6" w:rsidRPr="00BC4CD6" w:rsidRDefault="00BC4CD6" w:rsidP="00BC4CD6">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Team Leadership</w:t>
      </w:r>
    </w:p>
    <w:p w14:paraId="52C165BA" w14:textId="77777777" w:rsidR="00BC4CD6" w:rsidRPr="00BC4CD6" w:rsidRDefault="00BC4CD6" w:rsidP="00BC4CD6">
      <w:pPr>
        <w:spacing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pict w14:anchorId="3EBF53CF">
          <v:rect id="_x0000_i1029" style="width:0;height:1.5pt" o:hralign="center" o:hrstd="t" o:hr="t" fillcolor="#a0a0a0" stroked="f"/>
        </w:pict>
      </w:r>
    </w:p>
    <w:p w14:paraId="60687E6A" w14:textId="77777777" w:rsidR="00BC4CD6" w:rsidRPr="00BC4CD6" w:rsidRDefault="00BC4CD6" w:rsidP="00BC4C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b/>
          <w:bCs/>
          <w:color w:val="auto"/>
          <w:sz w:val="24"/>
          <w:szCs w:val="24"/>
          <w:lang w:eastAsia="en-GB"/>
        </w:rPr>
        <w:t>Certifications:</w:t>
      </w:r>
    </w:p>
    <w:p w14:paraId="23C68D4A" w14:textId="77777777" w:rsidR="00BC4CD6" w:rsidRPr="00BC4CD6" w:rsidRDefault="00BC4CD6" w:rsidP="00BC4CD6">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Certified Financial Risk Manager (FRM)</w:t>
      </w:r>
    </w:p>
    <w:p w14:paraId="13270F20" w14:textId="77777777" w:rsidR="00BC4CD6" w:rsidRPr="00BC4CD6" w:rsidRDefault="00BC4CD6" w:rsidP="00BC4CD6">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International Certificate in Risk Management (ICRM)</w:t>
      </w:r>
    </w:p>
    <w:p w14:paraId="5C7BFDCA" w14:textId="77777777" w:rsidR="00BC4CD6" w:rsidRPr="00BC4CD6" w:rsidRDefault="00BC4CD6" w:rsidP="00BC4CD6">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Certified Risk Management Professional (CRMP)</w:t>
      </w:r>
    </w:p>
    <w:p w14:paraId="1BC40CF2" w14:textId="77777777" w:rsidR="00BC4CD6" w:rsidRPr="00BC4CD6" w:rsidRDefault="00BC4CD6" w:rsidP="00BC4CD6">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C4CD6">
        <w:rPr>
          <w:rFonts w:ascii="Times New Roman" w:eastAsia="Times New Roman" w:hAnsi="Times New Roman" w:cs="Times New Roman"/>
          <w:color w:val="auto"/>
          <w:sz w:val="24"/>
          <w:szCs w:val="24"/>
          <w:lang w:eastAsia="en-GB"/>
        </w:rPr>
        <w:t>Certified Financial Services Auditor (CFSA)</w:t>
      </w:r>
    </w:p>
    <w:p w14:paraId="4F09D5C1"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C456" w14:textId="77777777" w:rsidR="00863F70" w:rsidRDefault="00863F70" w:rsidP="00397406">
      <w:pPr>
        <w:spacing w:line="240" w:lineRule="auto"/>
      </w:pPr>
      <w:r>
        <w:separator/>
      </w:r>
    </w:p>
  </w:endnote>
  <w:endnote w:type="continuationSeparator" w:id="0">
    <w:p w14:paraId="5857548A" w14:textId="77777777" w:rsidR="00863F70" w:rsidRDefault="00863F7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DA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A52C13A" wp14:editId="33CBB506">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7B405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52C13A"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77B405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4D82"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8EC70B0" wp14:editId="11ABCAA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7AD101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8EC70B0"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7AD101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21A1"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68B5EA4" wp14:editId="2BBA5C7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4570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8B5EA4"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4570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CEE73" w14:textId="77777777" w:rsidR="00863F70" w:rsidRDefault="00863F70" w:rsidP="00397406">
      <w:pPr>
        <w:spacing w:line="240" w:lineRule="auto"/>
      </w:pPr>
      <w:r>
        <w:separator/>
      </w:r>
    </w:p>
  </w:footnote>
  <w:footnote w:type="continuationSeparator" w:id="0">
    <w:p w14:paraId="495E8816" w14:textId="77777777" w:rsidR="00863F70" w:rsidRDefault="00863F7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AC53" w14:textId="77777777" w:rsidR="00107C95" w:rsidRDefault="009510C6">
    <w:pPr>
      <w:pStyle w:val="Header"/>
    </w:pPr>
    <w:r>
      <w:rPr>
        <w:noProof/>
        <w:lang w:eastAsia="zh-TW"/>
      </w:rPr>
      <w:drawing>
        <wp:anchor distT="0" distB="0" distL="114300" distR="114300" simplePos="0" relativeHeight="251659264" behindDoc="0" locked="0" layoutInCell="1" allowOverlap="1" wp14:anchorId="2F6210F4" wp14:editId="603131DC">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B1FBB"/>
    <w:multiLevelType w:val="multilevel"/>
    <w:tmpl w:val="2102B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D4608B7"/>
    <w:multiLevelType w:val="multilevel"/>
    <w:tmpl w:val="235E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B03FE6"/>
    <w:multiLevelType w:val="multilevel"/>
    <w:tmpl w:val="41D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0B0B"/>
    <w:multiLevelType w:val="multilevel"/>
    <w:tmpl w:val="B196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8EC0F8B"/>
    <w:multiLevelType w:val="multilevel"/>
    <w:tmpl w:val="DCD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C50BA"/>
    <w:multiLevelType w:val="multilevel"/>
    <w:tmpl w:val="677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4022E"/>
    <w:multiLevelType w:val="multilevel"/>
    <w:tmpl w:val="969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14150"/>
    <w:multiLevelType w:val="multilevel"/>
    <w:tmpl w:val="98EC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D472D"/>
    <w:multiLevelType w:val="multilevel"/>
    <w:tmpl w:val="90B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47CAA"/>
    <w:multiLevelType w:val="multilevel"/>
    <w:tmpl w:val="C4F0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24B33"/>
    <w:multiLevelType w:val="multilevel"/>
    <w:tmpl w:val="51D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56CBB"/>
    <w:multiLevelType w:val="multilevel"/>
    <w:tmpl w:val="3844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66167"/>
    <w:multiLevelType w:val="multilevel"/>
    <w:tmpl w:val="14B6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5"/>
  </w:num>
  <w:num w:numId="5" w16cid:durableId="734399106">
    <w:abstractNumId w:val="14"/>
  </w:num>
  <w:num w:numId="6" w16cid:durableId="1012150773">
    <w:abstractNumId w:val="22"/>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45508395">
    <w:abstractNumId w:val="13"/>
  </w:num>
  <w:num w:numId="15" w16cid:durableId="752824663">
    <w:abstractNumId w:val="9"/>
  </w:num>
  <w:num w:numId="16" w16cid:durableId="502209579">
    <w:abstractNumId w:val="12"/>
  </w:num>
  <w:num w:numId="17" w16cid:durableId="1554462522">
    <w:abstractNumId w:val="10"/>
  </w:num>
  <w:num w:numId="18" w16cid:durableId="1580938775">
    <w:abstractNumId w:val="15"/>
  </w:num>
  <w:num w:numId="19" w16cid:durableId="1399129631">
    <w:abstractNumId w:val="20"/>
  </w:num>
  <w:num w:numId="20" w16cid:durableId="87502080">
    <w:abstractNumId w:val="16"/>
  </w:num>
  <w:num w:numId="21" w16cid:durableId="583802690">
    <w:abstractNumId w:val="3"/>
  </w:num>
  <w:num w:numId="22" w16cid:durableId="1456951275">
    <w:abstractNumId w:val="17"/>
  </w:num>
  <w:num w:numId="23" w16cid:durableId="1015111700">
    <w:abstractNumId w:val="21"/>
  </w:num>
  <w:num w:numId="24" w16cid:durableId="693530883">
    <w:abstractNumId w:val="7"/>
  </w:num>
  <w:num w:numId="25" w16cid:durableId="1381979061">
    <w:abstractNumId w:val="18"/>
  </w:num>
  <w:num w:numId="26" w16cid:durableId="4646649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D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63F70"/>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C4CD6"/>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33F64"/>
  <w15:chartTrackingRefBased/>
  <w15:docId w15:val="{3F60DEA4-3385-44A3-8617-B199B717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BC4CD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BC4CD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BC4CD6"/>
    <w:rPr>
      <w:b/>
      <w:bCs/>
    </w:rPr>
  </w:style>
  <w:style w:type="paragraph" w:styleId="NormalWeb">
    <w:name w:val="Normal (Web)"/>
    <w:basedOn w:val="Normal"/>
    <w:uiPriority w:val="99"/>
    <w:semiHidden/>
    <w:unhideWhenUsed/>
    <w:rsid w:val="00BC4CD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BC4C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13737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2024-07-05T11:49:00Z</dcterms:created>
  <dcterms:modified xsi:type="dcterms:W3CDTF">2024-07-05T11:50:00Z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-132099624</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