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9B5E8"/>
          <w:sz w:val="56"/>
        </w:rPr>
        <w:t>Health Sciences Industry Skills Framework</w:t>
      </w:r>
    </w:p>
    <w:p>
      <w:pPr>
        <w:jc w:val="center"/>
      </w:pPr>
      <w:r>
        <w:rPr>
          <w:rFonts w:ascii="Calibri" w:hAnsi="Calibri"/>
          <w:b/>
          <w:color w:val="1B3A5C"/>
          <w:sz w:val="44"/>
        </w:rPr>
        <w:t>User Guide</w:t>
      </w:r>
    </w:p>
    <w:p/>
    <w:p>
      <w:pPr>
        <w:jc w:val="center"/>
      </w:pPr>
      <w:r>
        <w:rPr>
          <w:rFonts w:ascii="Calibri" w:hAnsi="Calibri"/>
          <w:i/>
          <w:color w:val="444444"/>
          <w:sz w:val="24"/>
        </w:rPr>
        <w:t>A build companion for Cortex Code</w:t>
        <w:br/>
        <w:t>for healthcare and life sciences solutions on Snowflake</w:t>
      </w:r>
    </w:p>
    <w:p/>
    <w:p>
      <w:pPr>
        <w:jc w:val="center"/>
      </w:pPr>
      <w:r>
        <w:rPr>
          <w:rFonts w:ascii="Calibri" w:hAnsi="Calibri"/>
          <w:color w:val="999999"/>
          <w:sz w:val="18"/>
        </w:rPr>
        <w:t>April 2026  |  github: Snowflake-Solutions / health-sciences-coco-skills-incubator</w:t>
      </w:r>
    </w:p>
    <w:p>
      <w:r>
        <w:br w:type="page"/>
      </w:r>
    </w:p>
    <w:p>
      <w:pPr>
        <w:spacing w:before="280" w:after="80"/>
      </w:pPr>
      <w:r>
        <w:rPr>
          <w:rFonts w:ascii="Calibri" w:hAnsi="Calibri"/>
          <w:b/>
          <w:color w:val="1B3A5C"/>
          <w:sz w:val="34"/>
        </w:rPr>
        <w:t>Section 1 — What is This Framework?</w:t>
      </w:r>
    </w:p>
    <w:p>
      <w:pPr>
        <w:spacing w:before="40" w:after="100"/>
      </w:pPr>
      <w:r>
        <w:rPr>
          <w:rFonts w:ascii="Calibri" w:hAnsi="Calibri"/>
          <w:b w:val="0"/>
          <w:i w:val="0"/>
          <w:sz w:val="22"/>
        </w:rPr>
        <w:t>The Health Sciences Industry Skills Framework is a companion for anyone using Cortex Code to accelerate their concept to production timelines. Just as Cortex Code's platform skills guide it toward the best approach for a specific Snowflake platform capability (Dynamic Tables, Cortex Search, Streamlit, and so on), industry skills guide Cortex Code toward the best approach for a healthcare or life sciences industry specific solution.</w:t>
      </w:r>
    </w:p>
    <w:p>
      <w:pPr>
        <w:spacing w:before="40" w:after="100"/>
      </w:pPr>
      <w:r>
        <w:rPr>
          <w:rFonts w:ascii="Calibri" w:hAnsi="Calibri"/>
          <w:b w:val="0"/>
          <w:i w:val="0"/>
          <w:sz w:val="22"/>
        </w:rPr>
        <w:t>When you bring a business problem — for example, processing clinical documents, building an imaging pipeline, running a genomics analysis, or detecting adverse drug events — the framework with inclusion of appropriate Industry Skills can give Cortex Code the domain expertise it needs to tackle it correctly: the clinical standards, the data models, the governance requirements, and the sequencing of Snowflake platform capabilities that the problem calls for. You get a working solution faster because the deep industry/domain knowledge is already built in.</w:t>
      </w:r>
    </w:p>
    <w:p>
      <w:pPr>
        <w:spacing w:before="40" w:after="100"/>
      </w:pPr>
      <w:r>
        <w:rPr>
          <w:rFonts w:ascii="Calibri" w:hAnsi="Calibri"/>
          <w:b w:val="0"/>
          <w:i w:val="0"/>
          <w:sz w:val="22"/>
        </w:rPr>
        <w:t>The interaction is conversational. You describe the business problem; Cortex Code, guided by the industry skills, builds a plan, gets your approval, and executes. All workflows involving clinical data or patient information enforce mandatory confirmation gates before any data is created or modified. Every decision point is yours to approve.</w:t>
      </w:r>
    </w:p>
    <w:p>
      <w:pPr>
        <w:spacing w:before="120" w:after="0"/>
      </w:pPr>
    </w:p>
    <w:p>
      <w:r>
        <w:br w:type="page"/>
      </w:r>
    </w:p>
    <w:p>
      <w:pPr>
        <w:spacing w:before="280" w:after="80"/>
      </w:pPr>
      <w:r>
        <w:rPr>
          <w:rFonts w:ascii="Calibri" w:hAnsi="Calibri"/>
          <w:b/>
          <w:color w:val="1B3A5C"/>
          <w:sz w:val="34"/>
        </w:rPr>
        <w:t>Section 2 — One-Time Setup</w:t>
      </w:r>
    </w:p>
    <w:p>
      <w:pPr>
        <w:spacing w:before="40" w:after="100"/>
      </w:pPr>
      <w:r>
        <w:rPr>
          <w:rFonts w:ascii="Calibri" w:hAnsi="Calibri"/>
          <w:b w:val="0"/>
          <w:i w:val="0"/>
          <w:sz w:val="22"/>
        </w:rPr>
        <w:t>Complete these steps once to load the Health Sciences Industry Skills Framework into Cortex Code. After setup, you interact entirely through conversation.</w:t>
      </w:r>
    </w:p>
    <w:p>
      <w:pPr>
        <w:spacing w:before="200" w:after="80"/>
      </w:pPr>
      <w:r>
        <w:rPr>
          <w:rFonts w:ascii="Calibri" w:hAnsi="Calibri"/>
          <w:b/>
          <w:color w:val="2D6A9F"/>
          <w:sz w:val="26"/>
        </w:rPr>
        <w:t>2.1  Prerequisites</w:t>
      </w:r>
    </w:p>
    <w:p>
      <w:pPr>
        <w:pStyle w:val="ListBullet"/>
        <w:spacing w:before="20" w:after="40"/>
      </w:pPr>
      <w:r>
        <w:rPr>
          <w:rFonts w:ascii="Calibri" w:hAnsi="Calibri"/>
          <w:sz w:val="22"/>
        </w:rPr>
        <w:t>Cortex Code CLI installed (see Snowflake documentation for installation)</w:t>
      </w:r>
    </w:p>
    <w:p>
      <w:pPr>
        <w:pStyle w:val="ListBullet"/>
        <w:spacing w:before="20" w:after="40"/>
      </w:pPr>
      <w:r>
        <w:rPr>
          <w:rFonts w:ascii="Calibri" w:hAnsi="Calibri"/>
          <w:sz w:val="22"/>
        </w:rPr>
        <w:t>Access to the GitHub repo into which the Industry Skills are packaged</w:t>
      </w:r>
    </w:p>
    <w:p>
      <w:pPr>
        <w:pStyle w:val="ListBullet"/>
        <w:spacing w:before="20" w:after="40"/>
      </w:pPr>
      <w:r>
        <w:rPr>
          <w:rFonts w:ascii="Calibri" w:hAnsi="Calibri"/>
          <w:sz w:val="22"/>
        </w:rPr>
        <w:t>Snowflake account with Cortex AI features enabled</w:t>
      </w:r>
    </w:p>
    <w:p>
      <w:pPr>
        <w:spacing w:before="120" w:after="0"/>
      </w:pPr>
    </w:p>
    <w:p>
      <w:pPr>
        <w:spacing w:before="200" w:after="80"/>
      </w:pPr>
      <w:r>
        <w:rPr>
          <w:rFonts w:ascii="Calibri" w:hAnsi="Calibri"/>
          <w:b/>
          <w:color w:val="2D6A9F"/>
          <w:sz w:val="26"/>
        </w:rPr>
        <w:t>2.2  Create the Orchestrator Profile</w:t>
      </w:r>
    </w:p>
    <w:p>
      <w:pPr>
        <w:spacing w:before="40" w:after="100"/>
      </w:pPr>
      <w:r>
        <w:rPr>
          <w:rFonts w:ascii="Calibri" w:hAnsi="Calibri"/>
          <w:b w:val="0"/>
          <w:i w:val="0"/>
          <w:sz w:val="22"/>
        </w:rPr>
        <w:t>A profile is a one-time setup that tells Cortex Code which orchestrator agent to use and which skills to load. Once the profile exists at ~/.snowflake/cortex/profiles/health-sciences-incubator.json, every cortex --profile health-sciences-incubator  session loads the full Health Sciences framework automatically — no manual skill registration needed.</w:t>
      </w:r>
    </w:p>
    <w:p>
      <w:pPr>
        <w:spacing w:before="60" w:after="0"/>
      </w:pPr>
    </w:p>
    <w:p>
      <w:pPr>
        <w:spacing w:before="40" w:after="100"/>
      </w:pPr>
      <w:r>
        <w:rPr>
          <w:rFonts w:ascii="Calibri" w:hAnsi="Calibri"/>
          <w:b/>
          <w:i w:val="0"/>
          <w:sz w:val="22"/>
        </w:rPr>
        <w:t>Step 1 — Check if the profile already exists:</w:t>
      </w:r>
    </w:p>
    <w:p>
      <w:pPr>
        <w:spacing w:before="0" w:after="0"/>
        <w:ind w:left="360"/>
        <w:shd w:fill="F4F4F4" w:color="auto" w:val="clear"/>
      </w:pPr>
      <w:r>
        <w:rPr>
          <w:rFonts w:ascii="Courier New" w:hAnsi="Courier New"/>
          <w:color w:val="444444"/>
          <w:sz w:val="18"/>
        </w:rPr>
        <w:t>cortex profile list</w:t>
      </w:r>
    </w:p>
    <w:p>
      <w:pPr>
        <w:spacing w:before="0" w:after="0"/>
        <w:ind w:left="360"/>
        <w:shd w:fill="F4F4F4" w:color="auto" w:val="clear"/>
      </w:pPr>
      <w:r>
        <w:rPr>
          <w:rFonts w:ascii="Courier New" w:hAnsi="Courier New"/>
          <w:color w:val="444444"/>
          <w:sz w:val="18"/>
        </w:rPr>
        <w:t># If health-sciences-incubator appears — skip to Section 2.3.</w:t>
      </w:r>
    </w:p>
    <w:p>
      <w:pPr>
        <w:spacing w:before="80" w:after="0"/>
      </w:pPr>
    </w:p>
    <w:p>
      <w:pPr>
        <w:spacing w:before="40" w:after="100"/>
      </w:pPr>
      <w:r>
        <w:rPr>
          <w:rFonts w:ascii="Calibri" w:hAnsi="Calibri"/>
          <w:b/>
          <w:i w:val="0"/>
          <w:sz w:val="22"/>
        </w:rPr>
        <w:t>Step 2 — If it does not exist, create it using one of these two options:</w:t>
      </w:r>
    </w:p>
    <w:p>
      <w:pPr>
        <w:spacing w:before="60" w:after="0"/>
      </w:pPr>
    </w:p>
    <w:p>
      <w:pPr>
        <w:spacing w:before="120" w:after="120"/>
        <w:ind w:left="288" w:right="288"/>
        <w:shd w:fill="E8F5E9" w:color="auto" w:val="clear"/>
      </w:pPr>
      <w:r>
        <w:rPr>
          <w:rFonts w:ascii="Calibri" w:hAnsi="Calibri"/>
          <w:b/>
          <w:sz w:val="20"/>
        </w:rPr>
        <w:t xml:space="preserve">GUIDED (recommended)  </w:t>
      </w:r>
      <w:r>
        <w:rPr>
          <w:rFonts w:ascii="Calibri" w:hAnsi="Calibri"/>
          <w:i/>
          <w:sz w:val="20"/>
        </w:rPr>
        <w:t>Open a standard Cortex Code session — no profile needed, just the base CLI that is already installed. Then ask:</w:t>
        <w:br/>
        <w:br/>
        <w:t xml:space="preserve">    "Set up the health-sciences-incubator profile for me. The repo is github:Snowflake-Solutions/health-sciences-coco-skills-incubator"</w:t>
        <w:br/>
        <w:br/>
        <w:t>Cortex Code will create the profile JSON file at the correct path. Verify with:  cortex profile list</w:t>
      </w:r>
    </w:p>
    <w:p>
      <w:pPr>
        <w:spacing w:before="60" w:after="0"/>
      </w:pPr>
    </w:p>
    <w:p>
      <w:pPr>
        <w:spacing w:before="120" w:after="120"/>
        <w:ind w:left="288" w:right="288"/>
        <w:shd w:fill="EBF5FF" w:color="auto" w:val="clear"/>
      </w:pPr>
      <w:r>
        <w:rPr>
          <w:rFonts w:ascii="Calibri" w:hAnsi="Calibri"/>
          <w:b/>
          <w:sz w:val="20"/>
        </w:rPr>
        <w:t xml:space="preserve">MANUAL  </w:t>
      </w:r>
      <w:r>
        <w:rPr>
          <w:rFonts w:ascii="Calibri" w:hAnsi="Calibri"/>
          <w:i/>
          <w:sz w:val="20"/>
        </w:rPr>
        <w:t>Run this from your terminal:</w:t>
      </w:r>
    </w:p>
    <w:p>
      <w:pPr>
        <w:spacing w:before="0" w:after="0"/>
        <w:ind w:left="360"/>
        <w:shd w:fill="F4F4F4" w:color="auto" w:val="clear"/>
      </w:pPr>
      <w:r>
        <w:rPr>
          <w:rFonts w:ascii="Courier New" w:hAnsi="Courier New"/>
          <w:color w:val="444444"/>
          <w:sz w:val="18"/>
        </w:rPr>
        <w:t>mkdir -p ~/.snowflake/cortex/profiles</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cat &gt; ~/.snowflake/cortex/profiles/health-sciences-incubator.json &lt;&lt; 'EOF'</w:t>
      </w:r>
    </w:p>
    <w:p>
      <w:pPr>
        <w:spacing w:before="0" w:after="0"/>
        <w:ind w:left="360"/>
        <w:shd w:fill="F4F4F4" w:color="auto" w:val="clear"/>
      </w:pPr>
      <w:r>
        <w:rPr>
          <w:rFonts w:ascii="Courier New" w:hAnsi="Courier New"/>
          <w:color w:val="444444"/>
          <w:sz w:val="18"/>
        </w:rPr>
        <w:t>{</w:t>
      </w:r>
    </w:p>
    <w:p>
      <w:pPr>
        <w:spacing w:before="0" w:after="0"/>
        <w:ind w:left="360"/>
        <w:shd w:fill="F4F4F4" w:color="auto" w:val="clear"/>
      </w:pPr>
      <w:r>
        <w:rPr>
          <w:rFonts w:ascii="Courier New" w:hAnsi="Courier New"/>
          <w:color w:val="444444"/>
          <w:sz w:val="18"/>
        </w:rPr>
        <w:t xml:space="preserve">  "name": "health-sciences-incubator",</w:t>
      </w:r>
    </w:p>
    <w:p>
      <w:pPr>
        <w:spacing w:before="0" w:after="0"/>
        <w:ind w:left="360"/>
        <w:shd w:fill="F4F4F4" w:color="auto" w:val="clear"/>
      </w:pPr>
      <w:r>
        <w:rPr>
          <w:rFonts w:ascii="Courier New" w:hAnsi="Courier New"/>
          <w:color w:val="444444"/>
          <w:sz w:val="18"/>
        </w:rPr>
        <w:t xml:space="preserve">  "description": "Industry Solutions Architect for Health Sciences on Snowflake",</w:t>
      </w:r>
    </w:p>
    <w:p>
      <w:pPr>
        <w:spacing w:before="0" w:after="0"/>
        <w:ind w:left="360"/>
        <w:shd w:fill="F4F4F4" w:color="auto" w:val="clear"/>
      </w:pPr>
      <w:r>
        <w:rPr>
          <w:rFonts w:ascii="Courier New" w:hAnsi="Courier New"/>
          <w:color w:val="444444"/>
          <w:sz w:val="18"/>
        </w:rPr>
        <w:t xml:space="preserve">  "systemPromptRepo": {</w:t>
      </w:r>
    </w:p>
    <w:p>
      <w:pPr>
        <w:spacing w:before="0" w:after="0"/>
        <w:ind w:left="360"/>
        <w:shd w:fill="F4F4F4" w:color="auto" w:val="clear"/>
      </w:pPr>
      <w:r>
        <w:rPr>
          <w:rFonts w:ascii="Courier New" w:hAnsi="Courier New"/>
          <w:color w:val="444444"/>
          <w:sz w:val="18"/>
        </w:rPr>
        <w:t xml:space="preserve">    "source": "github:Snowflake-Solutions/health-sciences-coco-skills-incubator/agents/health-sciences-incubator.md",</w:t>
      </w:r>
    </w:p>
    <w:p>
      <w:pPr>
        <w:spacing w:before="0" w:after="0"/>
        <w:ind w:left="360"/>
        <w:shd w:fill="F4F4F4" w:color="auto" w:val="clear"/>
      </w:pPr>
      <w:r>
        <w:rPr>
          <w:rFonts w:ascii="Courier New" w:hAnsi="Courier New"/>
          <w:color w:val="444444"/>
          <w:sz w:val="18"/>
        </w:rPr>
        <w:t xml:space="preserve">    "ref": "main"</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xml:space="preserve">  "skillRepos": [</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xml:space="preserve">      "source": "github:Snowflake-Solutions/health-sciences-coco-skills-incubator/skills",</w:t>
      </w:r>
    </w:p>
    <w:p>
      <w:pPr>
        <w:spacing w:before="0" w:after="0"/>
        <w:ind w:left="360"/>
        <w:shd w:fill="F4F4F4" w:color="auto" w:val="clear"/>
      </w:pPr>
      <w:r>
        <w:rPr>
          <w:rFonts w:ascii="Courier New" w:hAnsi="Courier New"/>
          <w:color w:val="444444"/>
          <w:sz w:val="18"/>
        </w:rPr>
        <w:t xml:space="preserve">      "ref": "main"</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xml:space="preserve">  ],</w:t>
      </w:r>
    </w:p>
    <w:p>
      <w:pPr>
        <w:spacing w:before="0" w:after="0"/>
        <w:ind w:left="360"/>
        <w:shd w:fill="F4F4F4" w:color="auto" w:val="clear"/>
      </w:pPr>
      <w:r>
        <w:rPr>
          <w:rFonts w:ascii="Courier New" w:hAnsi="Courier New"/>
          <w:color w:val="444444"/>
          <w:sz w:val="18"/>
        </w:rPr>
        <w:t xml:space="preserve">  "mcpServers": {},</w:t>
      </w:r>
    </w:p>
    <w:p>
      <w:pPr>
        <w:spacing w:before="0" w:after="0"/>
        <w:ind w:left="360"/>
        <w:shd w:fill="F4F4F4" w:color="auto" w:val="clear"/>
      </w:pPr>
      <w:r>
        <w:rPr>
          <w:rFonts w:ascii="Courier New" w:hAnsi="Courier New"/>
          <w:color w:val="444444"/>
          <w:sz w:val="18"/>
        </w:rPr>
        <w:t xml:space="preserve">  "commandRepos": [],</w:t>
      </w:r>
    </w:p>
    <w:p>
      <w:pPr>
        <w:spacing w:before="0" w:after="0"/>
        <w:ind w:left="360"/>
        <w:shd w:fill="F4F4F4" w:color="auto" w:val="clear"/>
      </w:pPr>
      <w:r>
        <w:rPr>
          <w:rFonts w:ascii="Courier New" w:hAnsi="Courier New"/>
          <w:color w:val="444444"/>
          <w:sz w:val="18"/>
        </w:rPr>
        <w:t xml:space="preserve">  "hooks": null,</w:t>
      </w:r>
    </w:p>
    <w:p>
      <w:pPr>
        <w:spacing w:before="0" w:after="0"/>
        <w:ind w:left="360"/>
        <w:shd w:fill="F4F4F4" w:color="auto" w:val="clear"/>
      </w:pPr>
      <w:r>
        <w:rPr>
          <w:rFonts w:ascii="Courier New" w:hAnsi="Courier New"/>
          <w:color w:val="444444"/>
          <w:sz w:val="18"/>
        </w:rPr>
        <w:t xml:space="preserve">  "envVars": {},</w:t>
      </w:r>
    </w:p>
    <w:p>
      <w:pPr>
        <w:spacing w:before="0" w:after="0"/>
        <w:ind w:left="360"/>
        <w:shd w:fill="F4F4F4" w:color="auto" w:val="clear"/>
      </w:pPr>
      <w:r>
        <w:rPr>
          <w:rFonts w:ascii="Courier New" w:hAnsi="Courier New"/>
          <w:color w:val="444444"/>
          <w:sz w:val="18"/>
        </w:rPr>
        <w:t xml:space="preserve">  "settingsOverrides": {}</w:t>
      </w:r>
    </w:p>
    <w:p>
      <w:pPr>
        <w:spacing w:before="0" w:after="0"/>
        <w:ind w:left="360"/>
        <w:shd w:fill="F4F4F4" w:color="auto" w:val="clear"/>
      </w:pPr>
      <w:r>
        <w:rPr>
          <w:rFonts w:ascii="Courier New" w:hAnsi="Courier New"/>
          <w:color w:val="444444"/>
          <w:sz w:val="18"/>
        </w:rPr>
        <w:t>}</w:t>
      </w:r>
    </w:p>
    <w:p>
      <w:pPr>
        <w:spacing w:before="0" w:after="0"/>
        <w:ind w:left="360"/>
        <w:shd w:fill="F4F4F4" w:color="auto" w:val="clear"/>
      </w:pPr>
      <w:r>
        <w:rPr>
          <w:rFonts w:ascii="Courier New" w:hAnsi="Courier New"/>
          <w:color w:val="444444"/>
          <w:sz w:val="18"/>
        </w:rPr>
        <w:t>EOF</w:t>
      </w:r>
    </w:p>
    <w:p>
      <w:pPr>
        <w:spacing w:before="80" w:after="0"/>
      </w:pPr>
    </w:p>
    <w:p>
      <w:pPr>
        <w:spacing w:before="40" w:after="100"/>
      </w:pPr>
      <w:r>
        <w:rPr>
          <w:rFonts w:ascii="Calibri" w:hAnsi="Calibri"/>
          <w:b/>
          <w:i w:val="0"/>
          <w:sz w:val="22"/>
        </w:rPr>
        <w:t>What the profile does:</w:t>
      </w:r>
    </w:p>
    <w:tbl>
      <w:tblPr>
        <w:tblStyle w:val="TableGrid"/>
        <w:tblW w:type="auto" w:w="0"/>
        <w:tblLook w:firstColumn="1" w:firstRow="1" w:lastColumn="0" w:lastRow="0" w:noHBand="0" w:noVBand="1" w:val="04A0"/>
      </w:tblPr>
      <w:tblGrid>
        <w:gridCol w:w="4392"/>
        <w:gridCol w:w="4392"/>
      </w:tblGrid>
      <w:tr>
        <w:tc>
          <w:tcPr>
            <w:tcW w:type="dxa" w:w="2592"/>
            <w:shd w:fill="29B5E8" w:color="auto" w:val="clear"/>
          </w:tcPr>
          <w:p>
            <w:r/>
            <w:r>
              <w:rPr>
                <w:rFonts w:ascii="Calibri" w:hAnsi="Calibri"/>
                <w:b/>
                <w:color w:val="FFFFFF"/>
                <w:sz w:val="20"/>
              </w:rPr>
              <w:t>Field</w:t>
            </w:r>
          </w:p>
        </w:tc>
        <w:tc>
          <w:tcPr>
            <w:tcW w:type="dxa" w:w="6768"/>
            <w:shd w:fill="29B5E8" w:color="auto" w:val="clear"/>
          </w:tcPr>
          <w:p>
            <w:r/>
            <w:r>
              <w:rPr>
                <w:rFonts w:ascii="Calibri" w:hAnsi="Calibri"/>
                <w:b/>
                <w:color w:val="FFFFFF"/>
                <w:sz w:val="20"/>
              </w:rPr>
              <w:t>What it does</w:t>
            </w:r>
          </w:p>
        </w:tc>
      </w:tr>
      <w:tr>
        <w:tc>
          <w:tcPr>
            <w:tcW w:type="dxa" w:w="2592"/>
            <w:shd w:fill="FFFFFF" w:color="auto" w:val="clear"/>
          </w:tcPr>
          <w:p>
            <w:r/>
            <w:r>
              <w:rPr>
                <w:rFonts w:ascii="Calibri" w:hAnsi="Calibri"/>
                <w:sz w:val="20"/>
              </w:rPr>
              <w:t>systemPromptRepo</w:t>
            </w:r>
          </w:p>
        </w:tc>
        <w:tc>
          <w:tcPr>
            <w:tcW w:type="dxa" w:w="6768"/>
            <w:shd w:fill="FFFFFF" w:color="auto" w:val="clear"/>
          </w:tcPr>
          <w:p>
            <w:r/>
            <w:r>
              <w:rPr>
                <w:rFonts w:ascii="Calibri" w:hAnsi="Calibri"/>
                <w:sz w:val="20"/>
              </w:rPr>
              <w:t>Points to the orchestrator agent markdown on GitHub. Fetched automatically on launch — no local copy needed. This is the routing brain: skill taxonomy, HIPAA guardrails, domain routing rules.</w:t>
            </w:r>
          </w:p>
        </w:tc>
      </w:tr>
      <w:tr>
        <w:tc>
          <w:tcPr>
            <w:tcW w:type="dxa" w:w="2592"/>
            <w:shd w:fill="F2F2F2" w:color="auto" w:val="clear"/>
          </w:tcPr>
          <w:p>
            <w:r/>
            <w:r>
              <w:rPr>
                <w:rFonts w:ascii="Calibri" w:hAnsi="Calibri"/>
                <w:sz w:val="20"/>
              </w:rPr>
              <w:t>skillRepos</w:t>
            </w:r>
          </w:p>
        </w:tc>
        <w:tc>
          <w:tcPr>
            <w:tcW w:type="dxa" w:w="6768"/>
            <w:shd w:fill="F2F2F2" w:color="auto" w:val="clear"/>
          </w:tcPr>
          <w:p>
            <w:r/>
            <w:r>
              <w:rPr>
                <w:rFonts w:ascii="Calibri" w:hAnsi="Calibri"/>
                <w:sz w:val="20"/>
              </w:rPr>
              <w:t>Declares the GitHub skill directory. All hcls-* skills are cloned into a local cache on first launch automatically. No manual cortex skill add needed.</w:t>
            </w:r>
          </w:p>
        </w:tc>
      </w:tr>
    </w:tbl>
    <w:p>
      <w:pPr>
        <w:spacing w:before="80" w:after="0"/>
      </w:pPr>
    </w:p>
    <w:p>
      <w:pPr>
        <w:spacing w:before="60" w:after="0"/>
      </w:pPr>
    </w:p>
    <w:p>
      <w:pPr>
        <w:spacing w:before="40" w:after="100"/>
      </w:pPr>
      <w:r>
        <w:rPr>
          <w:rFonts w:ascii="Calibri" w:hAnsi="Calibri"/>
          <w:b/>
          <w:i w:val="0"/>
          <w:sz w:val="22"/>
        </w:rPr>
        <w:t>Step 3 — Verify the profile is wired correctly:</w:t>
      </w:r>
    </w:p>
    <w:p>
      <w:pPr>
        <w:spacing w:before="0" w:after="0"/>
        <w:ind w:left="360"/>
        <w:shd w:fill="F4F4F4" w:color="auto" w:val="clear"/>
      </w:pPr>
      <w:r>
        <w:rPr>
          <w:rFonts w:ascii="Courier New" w:hAnsi="Courier New"/>
          <w:color w:val="444444"/>
          <w:sz w:val="18"/>
        </w:rPr>
        <w:t>cortex profile show health-sciences-incubator</w:t>
      </w:r>
    </w:p>
    <w:p>
      <w:pPr>
        <w:spacing w:before="0" w:after="0"/>
        <w:ind w:left="360"/>
        <w:shd w:fill="F4F4F4" w:color="auto" w:val="clear"/>
      </w:pPr>
      <w:r>
        <w:rPr>
          <w:rFonts w:ascii="Courier New" w:hAnsi="Courier New"/>
          <w:color w:val="444444"/>
          <w:sz w:val="18"/>
        </w:rPr>
        <w:t># Should show: Skills (1 repos) with the GitHub source</w:t>
      </w:r>
    </w:p>
    <w:p>
      <w:pPr>
        <w:spacing w:before="80" w:after="0"/>
      </w:pPr>
    </w:p>
    <w:p>
      <w:pPr>
        <w:spacing w:before="200" w:after="80"/>
      </w:pPr>
      <w:r>
        <w:rPr>
          <w:rFonts w:ascii="Calibri" w:hAnsi="Calibri"/>
          <w:b/>
          <w:color w:val="2D6A9F"/>
          <w:sz w:val="26"/>
        </w:rPr>
        <w:t>2.3  Launch with the Profile</w:t>
      </w:r>
    </w:p>
    <w:p>
      <w:pPr>
        <w:spacing w:before="0" w:after="0"/>
        <w:ind w:left="360"/>
        <w:shd w:fill="F4F4F4" w:color="auto" w:val="clear"/>
      </w:pPr>
      <w:r>
        <w:rPr>
          <w:rFonts w:ascii="Courier New" w:hAnsi="Courier New"/>
          <w:color w:val="444444"/>
          <w:sz w:val="18"/>
        </w:rPr>
        <w:t>cortex --profile health-sciences-incubator</w:t>
      </w:r>
    </w:p>
    <w:p>
      <w:pPr>
        <w:spacing w:before="120" w:after="0"/>
      </w:pPr>
    </w:p>
    <w:p>
      <w:pPr>
        <w:spacing w:before="200" w:after="80"/>
      </w:pPr>
      <w:r>
        <w:rPr>
          <w:rFonts w:ascii="Calibri" w:hAnsi="Calibri"/>
          <w:b/>
          <w:color w:val="2D6A9F"/>
          <w:sz w:val="26"/>
        </w:rPr>
        <w:t>2.4  Validate the Setup</w:t>
      </w:r>
    </w:p>
    <w:tbl>
      <w:tblPr>
        <w:tblStyle w:val="TableGrid"/>
        <w:tblW w:type="auto" w:w="0"/>
        <w:tblLook w:firstColumn="1" w:firstRow="1" w:lastColumn="0" w:lastRow="0" w:noHBand="0" w:noVBand="1" w:val="04A0"/>
      </w:tblPr>
      <w:tblGrid>
        <w:gridCol w:w="2928"/>
        <w:gridCol w:w="2928"/>
        <w:gridCol w:w="2928"/>
      </w:tblGrid>
      <w:tr>
        <w:tc>
          <w:tcPr>
            <w:tcW w:type="dxa" w:w="2592"/>
            <w:shd w:fill="29B5E8" w:color="auto" w:val="clear"/>
          </w:tcPr>
          <w:p>
            <w:r/>
            <w:r>
              <w:rPr>
                <w:rFonts w:ascii="Calibri" w:hAnsi="Calibri"/>
                <w:b/>
                <w:color w:val="FFFFFF"/>
                <w:sz w:val="20"/>
              </w:rPr>
              <w:t>Check</w:t>
            </w:r>
          </w:p>
        </w:tc>
        <w:tc>
          <w:tcPr>
            <w:tcW w:type="dxa" w:w="2016"/>
            <w:shd w:fill="29B5E8" w:color="auto" w:val="clear"/>
          </w:tcPr>
          <w:p>
            <w:r/>
            <w:r>
              <w:rPr>
                <w:rFonts w:ascii="Calibri" w:hAnsi="Calibri"/>
                <w:b/>
                <w:color w:val="FFFFFF"/>
                <w:sz w:val="20"/>
              </w:rPr>
              <w:t>Command</w:t>
            </w:r>
          </w:p>
        </w:tc>
        <w:tc>
          <w:tcPr>
            <w:tcW w:type="dxa" w:w="4752"/>
            <w:shd w:fill="29B5E8" w:color="auto" w:val="clear"/>
          </w:tcPr>
          <w:p>
            <w:r/>
            <w:r>
              <w:rPr>
                <w:rFonts w:ascii="Calibri" w:hAnsi="Calibri"/>
                <w:b/>
                <w:color w:val="FFFFFF"/>
                <w:sz w:val="20"/>
              </w:rPr>
              <w:t>Expected result</w:t>
            </w:r>
          </w:p>
        </w:tc>
      </w:tr>
      <w:tr>
        <w:tc>
          <w:tcPr>
            <w:tcW w:type="dxa" w:w="2592"/>
            <w:shd w:fill="FFFFFF" w:color="auto" w:val="clear"/>
          </w:tcPr>
          <w:p>
            <w:r/>
            <w:r>
              <w:rPr>
                <w:rFonts w:ascii="Calibri" w:hAnsi="Calibri"/>
                <w:sz w:val="20"/>
              </w:rPr>
              <w:t>Domain skills loaded</w:t>
            </w:r>
          </w:p>
        </w:tc>
        <w:tc>
          <w:tcPr>
            <w:tcW w:type="dxa" w:w="2016"/>
            <w:shd w:fill="FFFFFF" w:color="auto" w:val="clear"/>
          </w:tcPr>
          <w:p>
            <w:r/>
            <w:r>
              <w:rPr>
                <w:rFonts w:ascii="Calibri" w:hAnsi="Calibri"/>
                <w:sz w:val="20"/>
              </w:rPr>
              <w:t>/skill</w:t>
            </w:r>
          </w:p>
        </w:tc>
        <w:tc>
          <w:tcPr>
            <w:tcW w:type="dxa" w:w="4752"/>
            <w:shd w:fill="FFFFFF" w:color="auto" w:val="clear"/>
          </w:tcPr>
          <w:p>
            <w:r/>
            <w:r>
              <w:rPr>
                <w:rFonts w:ascii="Calibri" w:hAnsi="Calibri"/>
                <w:sz w:val="20"/>
              </w:rPr>
              <w:t>Health sciences domain skills listed</w:t>
            </w:r>
          </w:p>
        </w:tc>
      </w:tr>
      <w:tr>
        <w:tc>
          <w:tcPr>
            <w:tcW w:type="dxa" w:w="2592"/>
            <w:shd w:fill="F2F2F2" w:color="auto" w:val="clear"/>
          </w:tcPr>
          <w:p>
            <w:r/>
            <w:r>
              <w:rPr>
                <w:rFonts w:ascii="Calibri" w:hAnsi="Calibri"/>
                <w:sz w:val="20"/>
              </w:rPr>
              <w:t>Orchestrator agent loaded</w:t>
            </w:r>
          </w:p>
        </w:tc>
        <w:tc>
          <w:tcPr>
            <w:tcW w:type="dxa" w:w="2016"/>
            <w:shd w:fill="F2F2F2" w:color="auto" w:val="clear"/>
          </w:tcPr>
          <w:p>
            <w:r/>
            <w:r>
              <w:rPr>
                <w:rFonts w:ascii="Calibri" w:hAnsi="Calibri"/>
                <w:sz w:val="20"/>
              </w:rPr>
              <w:t>/agents</w:t>
            </w:r>
          </w:p>
        </w:tc>
        <w:tc>
          <w:tcPr>
            <w:tcW w:type="dxa" w:w="4752"/>
            <w:shd w:fill="F2F2F2" w:color="auto" w:val="clear"/>
          </w:tcPr>
          <w:p>
            <w:r/>
            <w:r>
              <w:rPr>
                <w:rFonts w:ascii="Calibri" w:hAnsi="Calibri"/>
                <w:sz w:val="20"/>
              </w:rPr>
              <w:t>health-sciences-incubator listed</w:t>
            </w:r>
          </w:p>
        </w:tc>
      </w:tr>
    </w:tbl>
    <w:p>
      <w:pPr>
        <w:spacing w:before="80" w:after="0"/>
      </w:pPr>
    </w:p>
    <w:p>
      <w:pPr>
        <w:spacing w:before="200" w:after="80"/>
      </w:pPr>
      <w:r>
        <w:rPr>
          <w:rFonts w:ascii="Calibri" w:hAnsi="Calibri"/>
          <w:b/>
          <w:color w:val="2D6A9F"/>
          <w:sz w:val="26"/>
        </w:rPr>
        <w:t>2.5  Keeping Up to Date</w:t>
      </w:r>
    </w:p>
    <w:p>
      <w:pPr>
        <w:spacing w:before="40" w:after="100"/>
      </w:pPr>
      <w:r>
        <w:rPr>
          <w:rFonts w:ascii="Calibri" w:hAnsi="Calibri"/>
          <w:b w:val="0"/>
          <w:i w:val="0"/>
          <w:sz w:val="22"/>
        </w:rPr>
        <w:t>When the repo is updated, sync your local cache with one command:</w:t>
      </w:r>
    </w:p>
    <w:p>
      <w:pPr>
        <w:spacing w:before="0" w:after="0"/>
        <w:ind w:left="360"/>
        <w:shd w:fill="F4F4F4" w:color="auto" w:val="clear"/>
      </w:pPr>
      <w:r>
        <w:rPr>
          <w:rFonts w:ascii="Courier New" w:hAnsi="Courier New"/>
          <w:color w:val="444444"/>
          <w:sz w:val="18"/>
        </w:rPr>
        <w:t>cortex profile sync health-sciences-incubator</w:t>
      </w:r>
    </w:p>
    <w:p>
      <w:pPr>
        <w:spacing w:before="120" w:after="0"/>
      </w:pPr>
    </w:p>
    <w:p>
      <w:pPr>
        <w:spacing w:before="200" w:after="80"/>
      </w:pPr>
      <w:r>
        <w:rPr>
          <w:rFonts w:ascii="Calibri" w:hAnsi="Calibri"/>
          <w:b/>
          <w:color w:val="2D6A9F"/>
          <w:sz w:val="26"/>
        </w:rPr>
        <w:t>2.6  Optional: Activate Knowledge Sources</w:t>
      </w:r>
    </w:p>
    <w:p>
      <w:pPr>
        <w:spacing w:before="40" w:after="100"/>
      </w:pPr>
      <w:r>
        <w:rPr>
          <w:rFonts w:ascii="Calibri" w:hAnsi="Calibri"/>
          <w:b w:val="0"/>
          <w:i w:val="0"/>
          <w:sz w:val="22"/>
        </w:rPr>
        <w:t>Two types of knowledge can optionally be activated to make the framework more accurate and production-aligned. Both are opt-in — every skill functions without them, falling back to built-in reference definitions.</w:t>
      </w:r>
    </w:p>
    <w:p>
      <w:pPr>
        <w:spacing w:before="80" w:after="0"/>
      </w:pPr>
    </w:p>
    <w:p>
      <w:pPr>
        <w:spacing w:before="200" w:after="80"/>
      </w:pPr>
      <w:r>
        <w:rPr>
          <w:rFonts w:ascii="Calibri" w:hAnsi="Calibri"/>
          <w:b/>
          <w:color w:val="1B3A5C"/>
          <w:sz w:val="22"/>
        </w:rPr>
        <w:t>2.6.1  Public Domain Knowledge</w:t>
      </w:r>
    </w:p>
    <w:p>
      <w:pPr>
        <w:spacing w:before="40" w:after="100"/>
      </w:pPr>
      <w:r>
        <w:rPr>
          <w:rFonts w:ascii="Calibri" w:hAnsi="Calibri"/>
          <w:b w:val="0"/>
          <w:i w:val="0"/>
          <w:sz w:val="22"/>
        </w:rPr>
        <w:t>Some skills can be enriched with shared domain knowledge available as Cortex Search Services on the Snowflake Marketplace. Installing one adds evidence grounding to relevant workflows — for example, annotating pharmacovigilance signals with published biomedical literature, or benchmarking a trial protocol against similar registered trials.</w:t>
      </w:r>
    </w:p>
    <w:tbl>
      <w:tblPr>
        <w:tblStyle w:val="TableGrid"/>
        <w:tblW w:type="auto" w:w="0"/>
        <w:tblLook w:firstColumn="1" w:firstRow="1" w:lastColumn="0" w:lastRow="0" w:noHBand="0" w:noVBand="1" w:val="04A0"/>
      </w:tblPr>
      <w:tblGrid>
        <w:gridCol w:w="2928"/>
        <w:gridCol w:w="2928"/>
        <w:gridCol w:w="2928"/>
      </w:tblGrid>
      <w:tr>
        <w:tc>
          <w:tcPr>
            <w:tcW w:type="dxa" w:w="2736"/>
            <w:shd w:fill="29B5E8" w:color="auto" w:val="clear"/>
          </w:tcPr>
          <w:p>
            <w:r/>
            <w:r>
              <w:rPr>
                <w:rFonts w:ascii="Calibri" w:hAnsi="Calibri"/>
                <w:b/>
                <w:color w:val="FFFFFF"/>
                <w:sz w:val="20"/>
              </w:rPr>
              <w:t>Knowledge Source</w:t>
            </w:r>
          </w:p>
        </w:tc>
        <w:tc>
          <w:tcPr>
            <w:tcW w:type="dxa" w:w="4032"/>
            <w:shd w:fill="29B5E8" w:color="auto" w:val="clear"/>
          </w:tcPr>
          <w:p>
            <w:r/>
            <w:r>
              <w:rPr>
                <w:rFonts w:ascii="Calibri" w:hAnsi="Calibri"/>
                <w:b/>
                <w:color w:val="FFFFFF"/>
                <w:sz w:val="20"/>
              </w:rPr>
              <w:t>What it enriches</w:t>
            </w:r>
          </w:p>
        </w:tc>
        <w:tc>
          <w:tcPr>
            <w:tcW w:type="dxa" w:w="2736"/>
            <w:shd w:fill="29B5E8" w:color="auto" w:val="clear"/>
          </w:tcPr>
          <w:p>
            <w:r/>
            <w:r>
              <w:rPr>
                <w:rFonts w:ascii="Calibri" w:hAnsi="Calibri"/>
                <w:b/>
                <w:color w:val="FFFFFF"/>
                <w:sz w:val="20"/>
              </w:rPr>
              <w:t>Marketplace listing name</w:t>
            </w:r>
          </w:p>
        </w:tc>
      </w:tr>
      <w:tr>
        <w:tc>
          <w:tcPr>
            <w:tcW w:type="dxa" w:w="2736"/>
            <w:shd w:fill="FFFFFF" w:color="auto" w:val="clear"/>
          </w:tcPr>
          <w:p>
            <w:r/>
            <w:r>
              <w:rPr>
                <w:rFonts w:ascii="Calibri" w:hAnsi="Calibri"/>
                <w:sz w:val="20"/>
              </w:rPr>
              <w:t>PubMed Biomedical Research Corpus</w:t>
            </w:r>
          </w:p>
        </w:tc>
        <w:tc>
          <w:tcPr>
            <w:tcW w:type="dxa" w:w="4032"/>
            <w:shd w:fill="FFFFFF" w:color="auto" w:val="clear"/>
          </w:tcPr>
          <w:p>
            <w:r/>
            <w:r>
              <w:rPr>
                <w:rFonts w:ascii="Calibri" w:hAnsi="Calibri"/>
                <w:sz w:val="20"/>
              </w:rPr>
              <w:t>Pharmacovigilance, clinical NLP, imaging analytics, research problem selection</w:t>
            </w:r>
          </w:p>
        </w:tc>
        <w:tc>
          <w:tcPr>
            <w:tcW w:type="dxa" w:w="2736"/>
            <w:shd w:fill="FFFFFF" w:color="auto" w:val="clear"/>
          </w:tcPr>
          <w:p>
            <w:r/>
            <w:r>
              <w:rPr>
                <w:rFonts w:ascii="Calibri" w:hAnsi="Calibri"/>
                <w:sz w:val="20"/>
              </w:rPr>
              <w:t>PubMed Biomedical Research Corpus</w:t>
            </w:r>
          </w:p>
        </w:tc>
      </w:tr>
      <w:tr>
        <w:tc>
          <w:tcPr>
            <w:tcW w:type="dxa" w:w="2736"/>
            <w:shd w:fill="F2F2F2" w:color="auto" w:val="clear"/>
          </w:tcPr>
          <w:p>
            <w:r/>
            <w:r>
              <w:rPr>
                <w:rFonts w:ascii="Calibri" w:hAnsi="Calibri"/>
                <w:sz w:val="20"/>
              </w:rPr>
              <w:t>Clinical Trials Research Database</w:t>
            </w:r>
          </w:p>
        </w:tc>
        <w:tc>
          <w:tcPr>
            <w:tcW w:type="dxa" w:w="4032"/>
            <w:shd w:fill="F2F2F2" w:color="auto" w:val="clear"/>
          </w:tcPr>
          <w:p>
            <w:r/>
            <w:r>
              <w:rPr>
                <w:rFonts w:ascii="Calibri" w:hAnsi="Calibri"/>
                <w:sz w:val="20"/>
              </w:rPr>
              <w:t>Trial protocol design, claims feasibility analysis, survival analysis benchmarking</w:t>
            </w:r>
          </w:p>
        </w:tc>
        <w:tc>
          <w:tcPr>
            <w:tcW w:type="dxa" w:w="2736"/>
            <w:shd w:fill="F2F2F2" w:color="auto" w:val="clear"/>
          </w:tcPr>
          <w:p>
            <w:r/>
            <w:r>
              <w:rPr>
                <w:rFonts w:ascii="Calibri" w:hAnsi="Calibri"/>
                <w:sz w:val="20"/>
              </w:rPr>
              <w:t>Clinical Trials Research Database</w:t>
            </w:r>
          </w:p>
        </w:tc>
      </w:tr>
    </w:tbl>
    <w:p>
      <w:pPr>
        <w:spacing w:before="80" w:after="0"/>
      </w:pPr>
    </w:p>
    <w:p>
      <w:pPr>
        <w:spacing w:before="40" w:after="100"/>
      </w:pPr>
      <w:r>
        <w:rPr>
          <w:rFonts w:ascii="Calibri" w:hAnsi="Calibri"/>
          <w:b/>
          <w:i w:val="0"/>
          <w:sz w:val="22"/>
        </w:rPr>
        <w:t>To install:</w:t>
      </w:r>
    </w:p>
    <w:p>
      <w:pPr>
        <w:pStyle w:val="ListBullet"/>
        <w:spacing w:before="20" w:after="40"/>
      </w:pPr>
      <w:r>
        <w:rPr>
          <w:rFonts w:ascii="Calibri" w:hAnsi="Calibri"/>
          <w:sz w:val="22"/>
        </w:rPr>
        <w:t>Navigate to Data Products &gt; Marketplace in Snowflake</w:t>
      </w:r>
    </w:p>
    <w:p>
      <w:pPr>
        <w:pStyle w:val="ListBullet"/>
        <w:spacing w:before="20" w:after="40"/>
      </w:pPr>
      <w:r>
        <w:rPr>
          <w:rFonts w:ascii="Calibri" w:hAnsi="Calibri"/>
          <w:sz w:val="22"/>
        </w:rPr>
        <w:t>Search for the listing name in the table above and click Get</w:t>
      </w:r>
    </w:p>
    <w:p>
      <w:pPr>
        <w:pStyle w:val="ListBullet"/>
        <w:spacing w:before="20" w:after="40"/>
      </w:pPr>
      <w:r>
        <w:rPr>
          <w:rFonts w:ascii="Calibri" w:hAnsi="Calibri"/>
          <w:sz w:val="22"/>
        </w:rPr>
        <w:t>No further configuration is needed. Skills auto-detect the installation via a preflight probe the next time a relevant workflow runs.</w:t>
      </w:r>
    </w:p>
    <w:p>
      <w:pPr>
        <w:spacing w:before="120" w:after="120"/>
        <w:ind w:left="288" w:right="288"/>
        <w:shd w:fill="EBF5FF" w:color="auto" w:val="clear"/>
      </w:pPr>
      <w:r>
        <w:rPr>
          <w:rFonts w:ascii="Calibri" w:hAnsi="Calibri"/>
          <w:i/>
          <w:sz w:val="20"/>
        </w:rPr>
        <w:t>The examples above are illustrative — additional knowledge sources may be available for other domains. Ask the orchestrator "What knowledge sources can I activate?" at the start of a session to discover what is available for your specific domain.</w:t>
      </w:r>
    </w:p>
    <w:p>
      <w:pPr>
        <w:spacing w:before="120" w:after="0"/>
      </w:pPr>
    </w:p>
    <w:p>
      <w:pPr>
        <w:spacing w:before="200" w:after="80"/>
      </w:pPr>
      <w:r>
        <w:rPr>
          <w:rFonts w:ascii="Calibri" w:hAnsi="Calibri"/>
          <w:b/>
          <w:color w:val="1B3A5C"/>
          <w:sz w:val="22"/>
        </w:rPr>
        <w:t>2.6.2  Enterprise Data Model Knowledge</w:t>
      </w:r>
    </w:p>
    <w:p>
      <w:pPr>
        <w:spacing w:before="40" w:after="100"/>
      </w:pPr>
      <w:r>
        <w:rPr>
          <w:rFonts w:ascii="Calibri" w:hAnsi="Calibri"/>
          <w:b w:val="0"/>
          <w:i w:val="0"/>
          <w:sz w:val="22"/>
        </w:rPr>
        <w:t>Skills that build SQL pipelines, DDL, or data extraction workflows can optionally use your enterprise data model — your actual table names, column definitions, PHI flags, and schema relationships. Without this, skills generate solutions using built-in clinical reference schemas. With it, they generate SQL targeting your exact production tables.</w:t>
      </w:r>
    </w:p>
    <w:p>
      <w:pPr>
        <w:spacing w:before="40" w:after="100"/>
      </w:pPr>
      <w:r>
        <w:rPr>
          <w:rFonts w:ascii="Calibri" w:hAnsi="Calibri"/>
          <w:b w:val="0"/>
          <w:i w:val="0"/>
          <w:sz w:val="22"/>
        </w:rPr>
        <w:t>This is set up once per skill domain. You load your schema documentation into a Snowflake reference table and build a Cortex Search Service on top of it. The skill queries this service at Step 0 of every session to ground all SQL and DDL generation in your actual data model.</w:t>
      </w:r>
    </w:p>
    <w:p>
      <w:pPr>
        <w:spacing w:before="40" w:after="100"/>
      </w:pPr>
      <w:r>
        <w:rPr>
          <w:rFonts w:ascii="Calibri" w:hAnsi="Calibri"/>
          <w:b w:val="0"/>
          <w:i w:val="0"/>
          <w:sz w:val="22"/>
        </w:rPr>
        <w:t>For example, the following domains currently support enterprise data model knowledge:</w:t>
      </w:r>
    </w:p>
    <w:tbl>
      <w:tblPr>
        <w:tblStyle w:val="TableGrid"/>
        <w:tblW w:type="auto" w:w="0"/>
        <w:tblLook w:firstColumn="1" w:firstRow="1" w:lastColumn="0" w:lastRow="0" w:noHBand="0" w:noVBand="1" w:val="04A0"/>
      </w:tblPr>
      <w:tblGrid>
        <w:gridCol w:w="4392"/>
        <w:gridCol w:w="4392"/>
      </w:tblGrid>
      <w:tr>
        <w:tc>
          <w:tcPr>
            <w:tcW w:type="dxa" w:w="2880"/>
            <w:shd w:fill="29B5E8" w:color="auto" w:val="clear"/>
          </w:tcPr>
          <w:p>
            <w:r/>
            <w:r>
              <w:rPr>
                <w:rFonts w:ascii="Calibri" w:hAnsi="Calibri"/>
                <w:b/>
                <w:color w:val="FFFFFF"/>
                <w:sz w:val="20"/>
              </w:rPr>
              <w:t>Skill domain</w:t>
            </w:r>
          </w:p>
        </w:tc>
        <w:tc>
          <w:tcPr>
            <w:tcW w:type="dxa" w:w="6624"/>
            <w:shd w:fill="29B5E8" w:color="auto" w:val="clear"/>
          </w:tcPr>
          <w:p>
            <w:r/>
            <w:r>
              <w:rPr>
                <w:rFonts w:ascii="Calibri" w:hAnsi="Calibri"/>
                <w:b/>
                <w:color w:val="FFFFFF"/>
                <w:sz w:val="20"/>
              </w:rPr>
              <w:t>What the enterprise model covers</w:t>
            </w:r>
          </w:p>
        </w:tc>
      </w:tr>
      <w:tr>
        <w:tc>
          <w:tcPr>
            <w:tcW w:type="dxa" w:w="2880"/>
            <w:shd w:fill="FFFFFF" w:color="auto" w:val="clear"/>
          </w:tcPr>
          <w:p>
            <w:r/>
            <w:r>
              <w:rPr>
                <w:rFonts w:ascii="Calibri" w:hAnsi="Calibri"/>
                <w:sz w:val="20"/>
              </w:rPr>
              <w:t>Clinical NLP</w:t>
            </w:r>
          </w:p>
        </w:tc>
        <w:tc>
          <w:tcPr>
            <w:tcW w:type="dxa" w:w="6624"/>
            <w:shd w:fill="FFFFFF" w:color="auto" w:val="clear"/>
          </w:tcPr>
          <w:p>
            <w:r/>
            <w:r>
              <w:rPr>
                <w:rFonts w:ascii="Calibri" w:hAnsi="Calibri"/>
                <w:sz w:val="20"/>
              </w:rPr>
              <w:t>Your NLP output schema: extraction tables, column types, code system mappings, PHI columns</w:t>
            </w:r>
          </w:p>
        </w:tc>
      </w:tr>
      <w:tr>
        <w:tc>
          <w:tcPr>
            <w:tcW w:type="dxa" w:w="2880"/>
            <w:shd w:fill="F2F2F2" w:color="auto" w:val="clear"/>
          </w:tcPr>
          <w:p>
            <w:r/>
            <w:r>
              <w:rPr>
                <w:rFonts w:ascii="Calibri" w:hAnsi="Calibri"/>
                <w:sz w:val="20"/>
              </w:rPr>
              <w:t>Clinical Documents</w:t>
            </w:r>
          </w:p>
        </w:tc>
        <w:tc>
          <w:tcPr>
            <w:tcW w:type="dxa" w:w="6624"/>
            <w:shd w:fill="F2F2F2" w:color="auto" w:val="clear"/>
          </w:tcPr>
          <w:p>
            <w:r/>
            <w:r>
              <w:rPr>
                <w:rFonts w:ascii="Calibri" w:hAnsi="Calibri"/>
                <w:sz w:val="20"/>
              </w:rPr>
              <w:t>Your document extraction schema: parsed document tables, classification outputs, field definitions</w:t>
            </w:r>
          </w:p>
        </w:tc>
      </w:tr>
      <w:tr>
        <w:tc>
          <w:tcPr>
            <w:tcW w:type="dxa" w:w="2880"/>
            <w:shd w:fill="FFFFFF" w:color="auto" w:val="clear"/>
          </w:tcPr>
          <w:p>
            <w:r/>
            <w:r>
              <w:rPr>
                <w:rFonts w:ascii="Calibri" w:hAnsi="Calibri"/>
                <w:sz w:val="20"/>
              </w:rPr>
              <w:t>Medical Imaging</w:t>
            </w:r>
          </w:p>
        </w:tc>
        <w:tc>
          <w:tcPr>
            <w:tcW w:type="dxa" w:w="6624"/>
            <w:shd w:fill="FFFFFF" w:color="auto" w:val="clear"/>
          </w:tcPr>
          <w:p>
            <w:r/>
            <w:r>
              <w:rPr>
                <w:rFonts w:ascii="Calibri" w:hAnsi="Calibri"/>
                <w:sz w:val="20"/>
              </w:rPr>
              <w:t>Your DICOM metadata schema: tag tables, study/series/instance structure, annotation tables</w:t>
            </w:r>
          </w:p>
        </w:tc>
      </w:tr>
    </w:tbl>
    <w:p>
      <w:pPr>
        <w:spacing w:before="80" w:after="0"/>
      </w:pPr>
    </w:p>
    <w:p>
      <w:pPr>
        <w:spacing w:before="120" w:after="120"/>
        <w:ind w:left="288" w:right="288"/>
        <w:shd w:fill="EBF5FF" w:color="auto" w:val="clear"/>
      </w:pPr>
      <w:r>
        <w:rPr>
          <w:rFonts w:ascii="Calibri" w:hAnsi="Calibri"/>
          <w:i/>
          <w:sz w:val="20"/>
        </w:rPr>
        <w:t>Other domain skills may also support enterprise data model knowledge. Ask the orchestrator "Does this skill support enterprise data model knowledge?" at the start of a session to check for your specific domain.</w:t>
      </w:r>
    </w:p>
    <w:p>
      <w:pPr>
        <w:spacing w:before="40" w:after="100"/>
      </w:pPr>
      <w:r>
        <w:rPr>
          <w:rFonts w:ascii="Calibri" w:hAnsi="Calibri"/>
          <w:b/>
          <w:i w:val="0"/>
          <w:sz w:val="22"/>
        </w:rPr>
        <w:t>One-time setup for each domain:</w:t>
      </w:r>
    </w:p>
    <w:p>
      <w:pPr>
        <w:pStyle w:val="ListBullet"/>
        <w:spacing w:before="20" w:after="40"/>
      </w:pPr>
      <w:r>
        <w:rPr>
          <w:rFonts w:ascii="Calibri" w:hAnsi="Calibri"/>
          <w:sz w:val="22"/>
        </w:rPr>
        <w:t>Export your schema to a CSV file with columns: table name, column name, data type, description, PHI flag, and any relationships</w:t>
      </w:r>
    </w:p>
    <w:p>
      <w:pPr>
        <w:pStyle w:val="ListBullet"/>
        <w:spacing w:before="20" w:after="40"/>
      </w:pPr>
      <w:r>
        <w:rPr>
          <w:rFonts w:ascii="Calibri" w:hAnsi="Calibri"/>
          <w:sz w:val="22"/>
        </w:rPr>
        <w:t>Load to Snowflake: COPY INTO a reference table in a DATA_MODEL_KNOWLEDGE schema</w:t>
      </w:r>
    </w:p>
    <w:p>
      <w:pPr>
        <w:pStyle w:val="ListBullet"/>
        <w:spacing w:before="20" w:after="40"/>
      </w:pPr>
      <w:r>
        <w:rPr>
          <w:rFonts w:ascii="Calibri" w:hAnsi="Calibri"/>
          <w:sz w:val="22"/>
        </w:rPr>
        <w:t>Build the Cortex Search Service: CREATE CORTEX SEARCH SERVICE over the reference table</w:t>
      </w:r>
    </w:p>
    <w:p>
      <w:pPr>
        <w:pStyle w:val="ListBullet"/>
        <w:spacing w:before="20" w:after="40"/>
      </w:pPr>
      <w:r>
        <w:rPr>
          <w:rFonts w:ascii="Calibri" w:hAnsi="Calibri"/>
          <w:sz w:val="22"/>
        </w:rPr>
        <w:t>No profile or skill changes needed — the skill's Step 0 preflight auto-discovers the service and activates it</w:t>
      </w:r>
    </w:p>
    <w:p>
      <w:pPr>
        <w:spacing w:before="120" w:after="120"/>
        <w:ind w:left="288" w:right="288"/>
        <w:shd w:fill="EBF5FF" w:color="auto" w:val="clear"/>
      </w:pPr>
      <w:r>
        <w:rPr>
          <w:rFonts w:ascii="Calibri" w:hAnsi="Calibri"/>
          <w:i/>
          <w:sz w:val="20"/>
        </w:rPr>
        <w:t>If enterprise data model knowledge is not set up, skills fall back to their built-in reference schema (FHIR-aligned, clinically standard) and still produce correct solutions. Enterprise DMK is optional but recommended when you need solutions aligned to your exact production schema.</w:t>
      </w:r>
    </w:p>
    <w:p>
      <w:r>
        <w:br w:type="page"/>
      </w:r>
    </w:p>
    <w:p>
      <w:pPr>
        <w:spacing w:before="280" w:after="80"/>
      </w:pPr>
      <w:r>
        <w:rPr>
          <w:rFonts w:ascii="Calibri" w:hAnsi="Calibri"/>
          <w:b/>
          <w:color w:val="1B3A5C"/>
          <w:sz w:val="34"/>
        </w:rPr>
        <w:t>Section 3 — How to Interact with the Framework</w:t>
      </w:r>
    </w:p>
    <w:p>
      <w:pPr>
        <w:spacing w:before="120" w:after="0"/>
      </w:pPr>
    </w:p>
    <w:p>
      <w:pPr>
        <w:spacing w:before="200" w:after="80"/>
      </w:pPr>
      <w:r>
        <w:rPr>
          <w:rFonts w:ascii="Calibri" w:hAnsi="Calibri"/>
          <w:b/>
          <w:color w:val="2D6A9F"/>
          <w:sz w:val="26"/>
        </w:rPr>
        <w:t>3.1  Describe your business problem in plain language</w:t>
      </w:r>
    </w:p>
    <w:p>
      <w:pPr>
        <w:spacing w:before="40" w:after="100"/>
      </w:pPr>
      <w:r>
        <w:rPr>
          <w:rFonts w:ascii="Calibri" w:hAnsi="Calibri"/>
          <w:b w:val="0"/>
          <w:i w:val="0"/>
          <w:sz w:val="22"/>
        </w:rPr>
        <w:t>No special syntax is needed. Describe the business problem: the data you have, the outcome you need, and any relevant context such as PHI sensitivity, target schema, or downstream use. Cortex Code, guided by the industry skills, will identify the right domain pattern and build a plan. The more context you give, the more accurate the plan.</w:t>
      </w:r>
    </w:p>
    <w:p>
      <w:pPr>
        <w:spacing w:before="60" w:after="0"/>
      </w:pPr>
    </w:p>
    <w:p>
      <w:pPr>
        <w:spacing w:before="120" w:after="120"/>
        <w:ind w:left="288" w:right="288"/>
        <w:shd w:fill="EBF5FF" w:color="auto" w:val="clear"/>
      </w:pPr>
      <w:r>
        <w:rPr>
          <w:rFonts w:ascii="Calibri" w:hAnsi="Calibri"/>
          <w:i/>
          <w:sz w:val="20"/>
        </w:rPr>
        <w:t>Not sure where to start? Explore what the framework can do before you have a specific problem in mind:</w:t>
        <w:br/>
        <w:br/>
        <w:t xml:space="preserve">    /skill</w:t>
        <w:br/>
        <w:t xml:space="preserve">    Lists all active domain skills loaded in the current session.</w:t>
        <w:br/>
        <w:br/>
        <w:t xml:space="preserve">    "What can you help me with for [segment or domain]?"</w:t>
        <w:br/>
        <w:t xml:space="preserve">    The orchestrator describes available patterns for that area.</w:t>
        <w:br/>
        <w:br/>
        <w:t xml:space="preserve">    "What workflows are available for genomics data?"</w:t>
        <w:br/>
        <w:t xml:space="preserve">    Returns a capability overview for that domain.</w:t>
        <w:br/>
        <w:br/>
        <w:t>You can also describe a data source or outcome without a specific goal and the orchestrator will suggest where to start.</w:t>
      </w:r>
    </w:p>
    <w:p>
      <w:pPr>
        <w:spacing w:before="60" w:after="0"/>
      </w:pPr>
    </w:p>
    <w:p>
      <w:pPr>
        <w:spacing w:before="40" w:after="100"/>
      </w:pPr>
      <w:r>
        <w:rPr>
          <w:rFonts w:ascii="Calibri" w:hAnsi="Calibri"/>
          <w:b/>
          <w:i w:val="0"/>
          <w:sz w:val="22"/>
        </w:rPr>
        <w:t>Examples of effective prompts:</w:t>
      </w:r>
    </w:p>
    <w:p>
      <w:pPr>
        <w:spacing w:before="0" w:after="0"/>
        <w:ind w:left="360"/>
        <w:shd w:fill="F4F4F4" w:color="auto" w:val="clear"/>
      </w:pPr>
      <w:r>
        <w:rPr>
          <w:rFonts w:ascii="Courier New" w:hAnsi="Courier New"/>
          <w:color w:val="444444"/>
          <w:sz w:val="18"/>
        </w:rPr>
        <w:t>"We have radiology reports in a Snowflake stage. Extract structured</w:t>
      </w:r>
    </w:p>
    <w:p>
      <w:pPr>
        <w:spacing w:before="0" w:after="0"/>
        <w:ind w:left="360"/>
        <w:shd w:fill="F4F4F4" w:color="auto" w:val="clear"/>
      </w:pPr>
      <w:r>
        <w:rPr>
          <w:rFonts w:ascii="Courier New" w:hAnsi="Courier New"/>
          <w:color w:val="444444"/>
          <w:sz w:val="18"/>
        </w:rPr>
        <w:t xml:space="preserve"> findings and build a semantic search interface for our radiologists."</w:t>
      </w:r>
    </w:p>
    <w:p>
      <w:pPr>
        <w:spacing w:before="60" w:after="0"/>
      </w:pPr>
    </w:p>
    <w:p>
      <w:pPr>
        <w:spacing w:before="0" w:after="0"/>
        <w:ind w:left="360"/>
        <w:shd w:fill="F4F4F4" w:color="auto" w:val="clear"/>
      </w:pPr>
      <w:r>
        <w:rPr>
          <w:rFonts w:ascii="Courier New" w:hAnsi="Courier New"/>
          <w:color w:val="444444"/>
          <w:sz w:val="18"/>
        </w:rPr>
        <w:t>"I need to transform FHIR R4 bundles from our EHR system into</w:t>
      </w:r>
    </w:p>
    <w:p>
      <w:pPr>
        <w:spacing w:before="0" w:after="0"/>
        <w:ind w:left="360"/>
        <w:shd w:fill="F4F4F4" w:color="auto" w:val="clear"/>
      </w:pPr>
      <w:r>
        <w:rPr>
          <w:rFonts w:ascii="Courier New" w:hAnsi="Courier New"/>
          <w:color w:val="444444"/>
          <w:sz w:val="18"/>
        </w:rPr>
        <w:t xml:space="preserve"> relational tables and map them to a standard clinical data model."</w:t>
      </w:r>
    </w:p>
    <w:p>
      <w:pPr>
        <w:spacing w:before="60" w:after="0"/>
      </w:pPr>
    </w:p>
    <w:p>
      <w:pPr>
        <w:spacing w:before="0" w:after="0"/>
        <w:ind w:left="360"/>
        <w:shd w:fill="F4F4F4" w:color="auto" w:val="clear"/>
      </w:pPr>
      <w:r>
        <w:rPr>
          <w:rFonts w:ascii="Courier New" w:hAnsi="Courier New"/>
          <w:color w:val="444444"/>
          <w:sz w:val="18"/>
        </w:rPr>
        <w:t>"Run a survival analysis on the patient cohort data already loaded</w:t>
      </w:r>
    </w:p>
    <w:p>
      <w:pPr>
        <w:spacing w:before="0" w:after="0"/>
        <w:ind w:left="360"/>
        <w:shd w:fill="F4F4F4" w:color="auto" w:val="clear"/>
      </w:pPr>
      <w:r>
        <w:rPr>
          <w:rFonts w:ascii="Courier New" w:hAnsi="Courier New"/>
          <w:color w:val="444444"/>
          <w:sz w:val="18"/>
        </w:rPr>
        <w:t xml:space="preserve"> in our Snowflake database and visualise the Kaplan-Meier curve."</w:t>
      </w:r>
    </w:p>
    <w:p>
      <w:pPr>
        <w:spacing w:before="120" w:after="0"/>
      </w:pPr>
    </w:p>
    <w:p>
      <w:pPr>
        <w:spacing w:before="200" w:after="80"/>
      </w:pPr>
      <w:r>
        <w:rPr>
          <w:rFonts w:ascii="Calibri" w:hAnsi="Calibri"/>
          <w:b/>
          <w:color w:val="2D6A9F"/>
          <w:sz w:val="26"/>
        </w:rPr>
        <w:t>3.2  Phase 1 — The Plan (always comes first)</w:t>
      </w:r>
    </w:p>
    <w:p>
      <w:pPr>
        <w:spacing w:before="40" w:after="100"/>
      </w:pPr>
      <w:r>
        <w:rPr>
          <w:rFonts w:ascii="Calibri" w:hAnsi="Calibri"/>
          <w:b w:val="0"/>
          <w:i w:val="0"/>
          <w:sz w:val="22"/>
        </w:rPr>
        <w:t>The orchestrator always responds with a structured plan table before executing anything. You review and approve the plan — nothing happens until you do.</w:t>
      </w:r>
    </w:p>
    <w:p>
      <w:pPr>
        <w:spacing w:before="60" w:after="0"/>
      </w:pPr>
    </w:p>
    <w:p>
      <w:pPr>
        <w:spacing w:before="40" w:after="100"/>
      </w:pPr>
      <w:r>
        <w:rPr>
          <w:rFonts w:ascii="Calibri" w:hAnsi="Calibri"/>
          <w:b/>
          <w:i w:val="0"/>
          <w:sz w:val="22"/>
        </w:rPr>
        <w:t>Plan table format:</w:t>
      </w:r>
    </w:p>
    <w:p>
      <w:pPr>
        <w:spacing w:before="0" w:after="0"/>
        <w:ind w:left="360"/>
        <w:shd w:fill="F4F4F4" w:color="auto" w:val="clear"/>
      </w:pPr>
      <w:r>
        <w:rPr>
          <w:rFonts w:ascii="Courier New" w:hAnsi="Courier New"/>
          <w:color w:val="444444"/>
          <w:sz w:val="18"/>
        </w:rPr>
        <w:t>| Step | Skill | What it produces | Depends on | Governance |</w:t>
      </w:r>
    </w:p>
    <w:p>
      <w:pPr>
        <w:spacing w:before="0" w:after="0"/>
        <w:ind w:left="360"/>
        <w:shd w:fill="F4F4F4" w:color="auto" w:val="clear"/>
      </w:pPr>
      <w:r>
        <w:rPr>
          <w:rFonts w:ascii="Courier New" w:hAnsi="Courier New"/>
          <w:color w:val="444444"/>
          <w:sz w:val="18"/>
        </w:rPr>
        <w:t>|------|-------|-----------------|------------|------------|</w:t>
      </w:r>
    </w:p>
    <w:p>
      <w:pPr>
        <w:spacing w:before="0" w:after="0"/>
        <w:ind w:left="360"/>
        <w:shd w:fill="F4F4F4" w:color="auto" w:val="clear"/>
      </w:pPr>
      <w:r>
        <w:rPr>
          <w:rFonts w:ascii="Courier New" w:hAnsi="Courier New"/>
          <w:color w:val="444444"/>
          <w:sz w:val="18"/>
        </w:rPr>
        <w:t>| 1 | $hcls-provider-cdata-fhir | Relational tables from FHIR bundles | — | PHI present |</w:t>
      </w:r>
    </w:p>
    <w:p>
      <w:pPr>
        <w:spacing w:before="0" w:after="0"/>
        <w:ind w:left="360"/>
        <w:shd w:fill="F4F4F4" w:color="auto" w:val="clear"/>
      </w:pPr>
      <w:r>
        <w:rPr>
          <w:rFonts w:ascii="Courier New" w:hAnsi="Courier New"/>
          <w:color w:val="444444"/>
          <w:sz w:val="18"/>
        </w:rPr>
        <w:t>| 2 | $hcls-provider-cdata-omop | OMOP CDM v5.4 tables | Step 1 | — |</w:t>
      </w:r>
    </w:p>
    <w:p>
      <w:pPr>
        <w:spacing w:before="0" w:after="0"/>
        <w:ind w:left="360"/>
        <w:shd w:fill="F4F4F4" w:color="auto" w:val="clear"/>
      </w:pPr>
      <w:r>
        <w:rPr>
          <w:rFonts w:ascii="Courier New" w:hAnsi="Courier New"/>
          <w:color w:val="444444"/>
          <w:sz w:val="18"/>
        </w:rPr>
        <w:t>| 3 | data-governance | Masking + row-access policies | Steps 1-2 | HIPAA |</w:t>
      </w:r>
    </w:p>
    <w:p>
      <w:pPr>
        <w:spacing w:before="0" w:after="0"/>
        <w:ind w:left="360"/>
        <w:shd w:fill="F4F4F4" w:color="auto" w:val="clear"/>
      </w:pPr>
      <w:r>
        <w:rPr>
          <w:rFonts w:ascii="Courier New" w:hAnsi="Courier New"/>
          <w:color w:val="444444"/>
          <w:sz w:val="18"/>
        </w:rPr>
        <w:t>| 4 | semantic-view | Semantic views for analytics | Steps 1-2 | — |</w:t>
      </w:r>
    </w:p>
    <w:p>
      <w:pPr>
        <w:spacing w:before="80" w:after="0"/>
      </w:pPr>
    </w:p>
    <w:p>
      <w:pPr>
        <w:spacing w:before="40" w:after="100"/>
      </w:pPr>
      <w:r>
        <w:rPr>
          <w:rFonts w:ascii="Calibri" w:hAnsi="Calibri"/>
          <w:b/>
          <w:i w:val="0"/>
          <w:sz w:val="22"/>
        </w:rPr>
        <w:t>How to read the plan:</w:t>
      </w:r>
    </w:p>
    <w:p>
      <w:pPr>
        <w:pStyle w:val="ListBullet"/>
        <w:spacing w:before="20" w:after="40"/>
      </w:pPr>
      <w:r>
        <w:rPr>
          <w:rFonts w:ascii="Calibri" w:hAnsi="Calibri"/>
          <w:sz w:val="22"/>
        </w:rPr>
        <w:t>One row = one logical step. Internal SQL operations are not listed — they run inside each step.</w:t>
      </w:r>
    </w:p>
    <w:p>
      <w:pPr>
        <w:pStyle w:val="ListBullet"/>
        <w:spacing w:before="20" w:after="40"/>
      </w:pPr>
      <w:r>
        <w:rPr>
          <w:rFonts w:ascii="Calibri" w:hAnsi="Calibri"/>
          <w:sz w:val="22"/>
        </w:rPr>
        <w:t>Governance column flags any step that creates or exposes PHI or PII.</w:t>
      </w:r>
    </w:p>
    <w:p>
      <w:pPr>
        <w:pStyle w:val="ListBullet"/>
        <w:spacing w:before="20" w:after="40"/>
      </w:pPr>
      <w:r>
        <w:rPr>
          <w:rFonts w:ascii="Calibri" w:hAnsi="Calibri"/>
          <w:sz w:val="22"/>
        </w:rPr>
        <w:t>Depends on: a step will not run if a prior required step failed.</w:t>
      </w:r>
    </w:p>
    <w:p>
      <w:pPr>
        <w:spacing w:before="120" w:after="0"/>
      </w:pPr>
    </w:p>
    <w:p>
      <w:pPr>
        <w:spacing w:before="200" w:after="80"/>
      </w:pPr>
      <w:r>
        <w:rPr>
          <w:rFonts w:ascii="Calibri" w:hAnsi="Calibri"/>
          <w:b/>
          <w:color w:val="2D6A9F"/>
          <w:sz w:val="26"/>
        </w:rPr>
        <w:t>3.3  Approving, modifying, or rejecting the plan</w:t>
      </w:r>
    </w:p>
    <w:tbl>
      <w:tblPr>
        <w:tblStyle w:val="TableGrid"/>
        <w:tblW w:type="auto" w:w="0"/>
        <w:tblLook w:firstColumn="1" w:firstRow="1" w:lastColumn="0" w:lastRow="0" w:noHBand="0" w:noVBand="1" w:val="04A0"/>
      </w:tblPr>
      <w:tblGrid>
        <w:gridCol w:w="4392"/>
        <w:gridCol w:w="4392"/>
      </w:tblGrid>
      <w:tr>
        <w:tc>
          <w:tcPr>
            <w:tcW w:type="dxa" w:w="2160"/>
            <w:shd w:fill="29B5E8" w:color="auto" w:val="clear"/>
          </w:tcPr>
          <w:p>
            <w:r/>
            <w:r>
              <w:rPr>
                <w:rFonts w:ascii="Calibri" w:hAnsi="Calibri"/>
                <w:b/>
                <w:color w:val="FFFFFF"/>
                <w:sz w:val="20"/>
              </w:rPr>
              <w:t>Your response</w:t>
            </w:r>
          </w:p>
        </w:tc>
        <w:tc>
          <w:tcPr>
            <w:tcW w:type="dxa" w:w="7200"/>
            <w:shd w:fill="29B5E8" w:color="auto" w:val="clear"/>
          </w:tcPr>
          <w:p>
            <w:r/>
            <w:r>
              <w:rPr>
                <w:rFonts w:ascii="Calibri" w:hAnsi="Calibri"/>
                <w:b/>
                <w:color w:val="FFFFFF"/>
                <w:sz w:val="20"/>
              </w:rPr>
              <w:t>What happens next</w:t>
            </w:r>
          </w:p>
        </w:tc>
      </w:tr>
      <w:tr>
        <w:tc>
          <w:tcPr>
            <w:tcW w:type="dxa" w:w="2160"/>
            <w:shd w:fill="FFFFFF" w:color="auto" w:val="clear"/>
          </w:tcPr>
          <w:p>
            <w:r/>
            <w:r>
              <w:rPr>
                <w:rFonts w:ascii="Calibri" w:hAnsi="Calibri"/>
                <w:sz w:val="20"/>
              </w:rPr>
              <w:t>Approve</w:t>
            </w:r>
          </w:p>
        </w:tc>
        <w:tc>
          <w:tcPr>
            <w:tcW w:type="dxa" w:w="7200"/>
            <w:shd w:fill="FFFFFF" w:color="auto" w:val="clear"/>
          </w:tcPr>
          <w:p>
            <w:r/>
            <w:r>
              <w:rPr>
                <w:rFonts w:ascii="Calibri" w:hAnsi="Calibri"/>
                <w:sz w:val="20"/>
              </w:rPr>
              <w:t>Phase 2 begins — steps execute in the approved order</w:t>
            </w:r>
          </w:p>
        </w:tc>
      </w:tr>
      <w:tr>
        <w:tc>
          <w:tcPr>
            <w:tcW w:type="dxa" w:w="2160"/>
            <w:shd w:fill="F2F2F2" w:color="auto" w:val="clear"/>
          </w:tcPr>
          <w:p>
            <w:r/>
            <w:r>
              <w:rPr>
                <w:rFonts w:ascii="Calibri" w:hAnsi="Calibri"/>
                <w:sz w:val="20"/>
              </w:rPr>
              <w:t>Modify</w:t>
            </w:r>
          </w:p>
        </w:tc>
        <w:tc>
          <w:tcPr>
            <w:tcW w:type="dxa" w:w="7200"/>
            <w:shd w:fill="F2F2F2" w:color="auto" w:val="clear"/>
          </w:tcPr>
          <w:p>
            <w:r/>
            <w:r>
              <w:rPr>
                <w:rFonts w:ascii="Calibri" w:hAnsi="Calibri"/>
                <w:sz w:val="20"/>
              </w:rPr>
              <w:t>Describe the change; the plan updates and is re-presented for approval</w:t>
            </w:r>
          </w:p>
        </w:tc>
      </w:tr>
      <w:tr>
        <w:tc>
          <w:tcPr>
            <w:tcW w:type="dxa" w:w="2160"/>
            <w:shd w:fill="FFFFFF" w:color="auto" w:val="clear"/>
          </w:tcPr>
          <w:p>
            <w:r/>
            <w:r>
              <w:rPr>
                <w:rFonts w:ascii="Calibri" w:hAnsi="Calibri"/>
                <w:sz w:val="20"/>
              </w:rPr>
              <w:t>Reject</w:t>
            </w:r>
          </w:p>
        </w:tc>
        <w:tc>
          <w:tcPr>
            <w:tcW w:type="dxa" w:w="7200"/>
            <w:shd w:fill="FFFFFF" w:color="auto" w:val="clear"/>
          </w:tcPr>
          <w:p>
            <w:r/>
            <w:r>
              <w:rPr>
                <w:rFonts w:ascii="Calibri" w:hAnsi="Calibri"/>
                <w:sz w:val="20"/>
              </w:rPr>
              <w:t>Describe what you want instead; a new plan is built from scratch</w:t>
            </w:r>
          </w:p>
        </w:tc>
      </w:tr>
    </w:tbl>
    <w:p>
      <w:pPr>
        <w:spacing w:before="80" w:after="0"/>
      </w:pPr>
    </w:p>
    <w:p>
      <w:pPr>
        <w:spacing w:before="200" w:after="80"/>
      </w:pPr>
      <w:r>
        <w:rPr>
          <w:rFonts w:ascii="Calibri" w:hAnsi="Calibri"/>
          <w:b/>
          <w:color w:val="2D6A9F"/>
          <w:sz w:val="26"/>
        </w:rPr>
        <w:t>3.4  When is the full plan gate required?</w:t>
      </w:r>
    </w:p>
    <w:tbl>
      <w:tblPr>
        <w:tblStyle w:val="TableGrid"/>
        <w:tblW w:type="auto" w:w="0"/>
        <w:tblLook w:firstColumn="1" w:firstRow="1" w:lastColumn="0" w:lastRow="0" w:noHBand="0" w:noVBand="1" w:val="04A0"/>
      </w:tblPr>
      <w:tblGrid>
        <w:gridCol w:w="4392"/>
        <w:gridCol w:w="4392"/>
      </w:tblGrid>
      <w:tr>
        <w:tc>
          <w:tcPr>
            <w:tcW w:type="dxa" w:w="6048"/>
            <w:shd w:fill="29B5E8" w:color="auto" w:val="clear"/>
          </w:tcPr>
          <w:p>
            <w:r/>
            <w:r>
              <w:rPr>
                <w:rFonts w:ascii="Calibri" w:hAnsi="Calibri"/>
                <w:b/>
                <w:color w:val="FFFFFF"/>
                <w:sz w:val="20"/>
              </w:rPr>
              <w:t>Situation</w:t>
            </w:r>
          </w:p>
        </w:tc>
        <w:tc>
          <w:tcPr>
            <w:tcW w:type="dxa" w:w="3312"/>
            <w:shd w:fill="29B5E8" w:color="auto" w:val="clear"/>
          </w:tcPr>
          <w:p>
            <w:r/>
            <w:r>
              <w:rPr>
                <w:rFonts w:ascii="Calibri" w:hAnsi="Calibri"/>
                <w:b/>
                <w:color w:val="FFFFFF"/>
                <w:sz w:val="20"/>
              </w:rPr>
              <w:t>Gate required</w:t>
            </w:r>
          </w:p>
        </w:tc>
      </w:tr>
      <w:tr>
        <w:tc>
          <w:tcPr>
            <w:tcW w:type="dxa" w:w="6048"/>
            <w:shd w:fill="FFFFFF" w:color="auto" w:val="clear"/>
          </w:tcPr>
          <w:p>
            <w:r/>
            <w:r>
              <w:rPr>
                <w:rFonts w:ascii="Calibri" w:hAnsi="Calibri"/>
                <w:sz w:val="20"/>
              </w:rPr>
              <w:t>Loading, creating, or modifying data</w:t>
            </w:r>
          </w:p>
        </w:tc>
        <w:tc>
          <w:tcPr>
            <w:tcW w:type="dxa" w:w="3312"/>
            <w:shd w:fill="FFFFFF" w:color="auto" w:val="clear"/>
          </w:tcPr>
          <w:p>
            <w:r/>
            <w:r>
              <w:rPr>
                <w:rFonts w:ascii="Calibri" w:hAnsi="Calibri"/>
                <w:sz w:val="20"/>
              </w:rPr>
              <w:t>Full plan gate</w:t>
            </w:r>
          </w:p>
        </w:tc>
      </w:tr>
      <w:tr>
        <w:tc>
          <w:tcPr>
            <w:tcW w:type="dxa" w:w="6048"/>
            <w:shd w:fill="F2F2F2" w:color="auto" w:val="clear"/>
          </w:tcPr>
          <w:p>
            <w:r/>
            <w:r>
              <w:rPr>
                <w:rFonts w:ascii="Calibri" w:hAnsi="Calibri"/>
                <w:sz w:val="20"/>
              </w:rPr>
              <w:t>Multi-step pipeline or multi-skill composition</w:t>
            </w:r>
          </w:p>
        </w:tc>
        <w:tc>
          <w:tcPr>
            <w:tcW w:type="dxa" w:w="3312"/>
            <w:shd w:fill="F2F2F2" w:color="auto" w:val="clear"/>
          </w:tcPr>
          <w:p>
            <w:r/>
            <w:r>
              <w:rPr>
                <w:rFonts w:ascii="Calibri" w:hAnsi="Calibri"/>
                <w:sz w:val="20"/>
              </w:rPr>
              <w:t>Full plan gate</w:t>
            </w:r>
          </w:p>
        </w:tc>
      </w:tr>
      <w:tr>
        <w:tc>
          <w:tcPr>
            <w:tcW w:type="dxa" w:w="6048"/>
            <w:shd w:fill="FFFFFF" w:color="auto" w:val="clear"/>
          </w:tcPr>
          <w:p>
            <w:r/>
            <w:r>
              <w:rPr>
                <w:rFonts w:ascii="Calibri" w:hAnsi="Calibri"/>
                <w:sz w:val="20"/>
              </w:rPr>
              <w:t>Data acquisition: downloads, API calls, staging</w:t>
            </w:r>
          </w:p>
        </w:tc>
        <w:tc>
          <w:tcPr>
            <w:tcW w:type="dxa" w:w="3312"/>
            <w:shd w:fill="FFFFFF" w:color="auto" w:val="clear"/>
          </w:tcPr>
          <w:p>
            <w:r/>
            <w:r>
              <w:rPr>
                <w:rFonts w:ascii="Calibri" w:hAnsi="Calibri"/>
                <w:sz w:val="20"/>
              </w:rPr>
              <w:t>Full plan gate</w:t>
            </w:r>
          </w:p>
        </w:tc>
      </w:tr>
      <w:tr>
        <w:tc>
          <w:tcPr>
            <w:tcW w:type="dxa" w:w="6048"/>
            <w:shd w:fill="F2F2F2" w:color="auto" w:val="clear"/>
          </w:tcPr>
          <w:p>
            <w:r/>
            <w:r>
              <w:rPr>
                <w:rFonts w:ascii="Calibri" w:hAnsi="Calibri"/>
                <w:sz w:val="20"/>
              </w:rPr>
              <w:t>Informational question only (no execution)</w:t>
            </w:r>
          </w:p>
        </w:tc>
        <w:tc>
          <w:tcPr>
            <w:tcW w:type="dxa" w:w="3312"/>
            <w:shd w:fill="F2F2F2" w:color="auto" w:val="clear"/>
          </w:tcPr>
          <w:p>
            <w:r/>
            <w:r>
              <w:rPr>
                <w:rFonts w:ascii="Calibri" w:hAnsi="Calibri"/>
                <w:sz w:val="20"/>
              </w:rPr>
              <w:t>Lightweight confirmation</w:t>
            </w:r>
          </w:p>
        </w:tc>
      </w:tr>
      <w:tr>
        <w:tc>
          <w:tcPr>
            <w:tcW w:type="dxa" w:w="6048"/>
            <w:shd w:fill="FFFFFF" w:color="auto" w:val="clear"/>
          </w:tcPr>
          <w:p>
            <w:r/>
            <w:r>
              <w:rPr>
                <w:rFonts w:ascii="Calibri" w:hAnsi="Calibri"/>
                <w:sz w:val="20"/>
              </w:rPr>
              <w:t>Follow-up step within an already-approved plan</w:t>
            </w:r>
          </w:p>
        </w:tc>
        <w:tc>
          <w:tcPr>
            <w:tcW w:type="dxa" w:w="3312"/>
            <w:shd w:fill="FFFFFF" w:color="auto" w:val="clear"/>
          </w:tcPr>
          <w:p>
            <w:r/>
            <w:r>
              <w:rPr>
                <w:rFonts w:ascii="Calibri" w:hAnsi="Calibri"/>
                <w:sz w:val="20"/>
              </w:rPr>
              <w:t>Lightweight confirmation</w:t>
            </w:r>
          </w:p>
        </w:tc>
      </w:tr>
    </w:tbl>
    <w:p>
      <w:pPr>
        <w:spacing w:before="80" w:after="0"/>
      </w:pPr>
    </w:p>
    <w:p>
      <w:pPr>
        <w:spacing w:before="200" w:after="80"/>
      </w:pPr>
      <w:r>
        <w:rPr>
          <w:rFonts w:ascii="Calibri" w:hAnsi="Calibri"/>
          <w:b/>
          <w:color w:val="2D6A9F"/>
          <w:sz w:val="26"/>
        </w:rPr>
        <w:t>3.5  Phase 2 — Execute</w:t>
      </w:r>
    </w:p>
    <w:p>
      <w:pPr>
        <w:spacing w:before="40" w:after="100"/>
      </w:pPr>
      <w:r>
        <w:rPr>
          <w:rFonts w:ascii="Calibri" w:hAnsi="Calibri"/>
          <w:b w:val="0"/>
          <w:i w:val="0"/>
          <w:sz w:val="22"/>
        </w:rPr>
        <w:t>Steps run in approved order. The orchestrator reports back after each step so you can review the output and course-correct before the next step begins. After all approved steps complete, it presents available next steps rather than proceeding automatically.</w:t>
      </w:r>
    </w:p>
    <w:p>
      <w:r>
        <w:br w:type="page"/>
      </w:r>
    </w:p>
    <w:p>
      <w:pPr>
        <w:spacing w:before="280" w:after="80"/>
      </w:pPr>
      <w:r>
        <w:rPr>
          <w:rFonts w:ascii="Calibri" w:hAnsi="Calibri"/>
          <w:b/>
          <w:color w:val="1B3A5C"/>
          <w:sz w:val="34"/>
        </w:rPr>
        <w:t>Section 4 — Framework Behaviors to Expect</w:t>
      </w:r>
    </w:p>
    <w:p>
      <w:pPr>
        <w:spacing w:before="120" w:after="0"/>
      </w:pPr>
    </w:p>
    <w:p>
      <w:pPr>
        <w:spacing w:before="200" w:after="80"/>
      </w:pPr>
      <w:r>
        <w:rPr>
          <w:rFonts w:ascii="Calibri" w:hAnsi="Calibri"/>
          <w:b/>
          <w:color w:val="2D6A9F"/>
          <w:sz w:val="26"/>
        </w:rPr>
        <w:t>4.1  Cortex Code handles routing — you don't</w:t>
      </w:r>
    </w:p>
    <w:p>
      <w:pPr>
        <w:spacing w:before="40" w:after="100"/>
      </w:pPr>
      <w:r>
        <w:rPr>
          <w:rFonts w:ascii="Calibri" w:hAnsi="Calibri"/>
          <w:b w:val="0"/>
          <w:i w:val="0"/>
          <w:sz w:val="22"/>
        </w:rPr>
        <w:t>Some industry skill areas cover multiple sub-capabilities: they accept a high-level intent and Cortex Code, guided by the skill, automatically routes to the right sub-capability — parsing, ingestion, analytics, governance, ML, search — based on what you asked for. Other areas execute directly without a routing step. Either way the interaction pattern is identical: describe the problem, review the plan, approve, execute. You never need to know which sub-capability was selected or how the routing decision was made.</w:t>
      </w:r>
    </w:p>
    <w:p>
      <w:pPr>
        <w:spacing w:before="120" w:after="0"/>
      </w:pPr>
    </w:p>
    <w:p>
      <w:pPr>
        <w:spacing w:before="200" w:after="80"/>
      </w:pPr>
      <w:r>
        <w:rPr>
          <w:rFonts w:ascii="Calibri" w:hAnsi="Calibri"/>
          <w:b/>
          <w:color w:val="2D6A9F"/>
          <w:sz w:val="26"/>
        </w:rPr>
        <w:t>4.2  Evidence grounding (optional knowledge sources)</w:t>
      </w:r>
    </w:p>
    <w:p>
      <w:pPr>
        <w:spacing w:before="40" w:after="100"/>
      </w:pPr>
      <w:r>
        <w:rPr>
          <w:rFonts w:ascii="Calibri" w:hAnsi="Calibri"/>
          <w:b w:val="0"/>
          <w:i w:val="0"/>
          <w:sz w:val="22"/>
        </w:rPr>
        <w:t>Two types of optional knowledge can enrich domain workflows: public domain knowledge from the Snowflake Marketplace (biomedical literature, clinical trial data) and enterprise data model knowledge loaded from your own schema documentation. For setup instructions for both, see Section 2.6.</w:t>
      </w:r>
    </w:p>
    <w:p>
      <w:pPr>
        <w:spacing w:before="40" w:after="100"/>
      </w:pPr>
      <w:r>
        <w:rPr>
          <w:rFonts w:ascii="Calibri" w:hAnsi="Calibri"/>
          <w:b w:val="0"/>
          <w:i w:val="0"/>
          <w:sz w:val="22"/>
        </w:rPr>
        <w:t>Before using any knowledge source, the skill runs a preflight check:</w:t>
      </w:r>
    </w:p>
    <w:tbl>
      <w:tblPr>
        <w:tblStyle w:val="TableGrid"/>
        <w:tblW w:type="auto" w:w="0"/>
        <w:tblLook w:firstColumn="1" w:firstRow="1" w:lastColumn="0" w:lastRow="0" w:noHBand="0" w:noVBand="1" w:val="04A0"/>
      </w:tblPr>
      <w:tblGrid>
        <w:gridCol w:w="4392"/>
        <w:gridCol w:w="4392"/>
      </w:tblGrid>
      <w:tr>
        <w:tc>
          <w:tcPr>
            <w:tcW w:type="dxa" w:w="2304"/>
            <w:shd w:fill="29B5E8" w:color="auto" w:val="clear"/>
          </w:tcPr>
          <w:p>
            <w:r/>
            <w:r>
              <w:rPr>
                <w:rFonts w:ascii="Calibri" w:hAnsi="Calibri"/>
                <w:b/>
                <w:color w:val="FFFFFF"/>
                <w:sz w:val="20"/>
              </w:rPr>
              <w:t>Preflight result</w:t>
            </w:r>
          </w:p>
        </w:tc>
        <w:tc>
          <w:tcPr>
            <w:tcW w:type="dxa" w:w="7200"/>
            <w:shd w:fill="29B5E8" w:color="auto" w:val="clear"/>
          </w:tcPr>
          <w:p>
            <w:r/>
            <w:r>
              <w:rPr>
                <w:rFonts w:ascii="Calibri" w:hAnsi="Calibri"/>
                <w:b/>
                <w:color w:val="FFFFFF"/>
                <w:sz w:val="20"/>
              </w:rPr>
              <w:t>What happens</w:t>
            </w:r>
          </w:p>
        </w:tc>
      </w:tr>
      <w:tr>
        <w:tc>
          <w:tcPr>
            <w:tcW w:type="dxa" w:w="2304"/>
            <w:shd w:fill="FFFFFF" w:color="auto" w:val="clear"/>
          </w:tcPr>
          <w:p>
            <w:r/>
            <w:r>
              <w:rPr>
                <w:rFonts w:ascii="Calibri" w:hAnsi="Calibri"/>
                <w:sz w:val="20"/>
              </w:rPr>
              <w:t>READY</w:t>
            </w:r>
          </w:p>
        </w:tc>
        <w:tc>
          <w:tcPr>
            <w:tcW w:type="dxa" w:w="7200"/>
            <w:shd w:fill="FFFFFF" w:color="auto" w:val="clear"/>
          </w:tcPr>
          <w:p>
            <w:r/>
            <w:r>
              <w:rPr>
                <w:rFonts w:ascii="Calibri" w:hAnsi="Calibri"/>
                <w:sz w:val="20"/>
              </w:rPr>
              <w:t>Knowledge source available — outputs enriched with domain evidence</w:t>
            </w:r>
          </w:p>
        </w:tc>
      </w:tr>
      <w:tr>
        <w:tc>
          <w:tcPr>
            <w:tcW w:type="dxa" w:w="2304"/>
            <w:shd w:fill="F2F2F2" w:color="auto" w:val="clear"/>
          </w:tcPr>
          <w:p>
            <w:r/>
            <w:r>
              <w:rPr>
                <w:rFonts w:ascii="Calibri" w:hAnsi="Calibri"/>
                <w:sz w:val="20"/>
              </w:rPr>
              <w:t>MISSING</w:t>
            </w:r>
          </w:p>
        </w:tc>
        <w:tc>
          <w:tcPr>
            <w:tcW w:type="dxa" w:w="7200"/>
            <w:shd w:fill="F2F2F2" w:color="auto" w:val="clear"/>
          </w:tcPr>
          <w:p>
            <w:r/>
            <w:r>
              <w:rPr>
                <w:rFonts w:ascii="Calibri" w:hAnsi="Calibri"/>
                <w:sz w:val="20"/>
              </w:rPr>
              <w:t>Knowledge source not installed — skill runs without enrichment; setup instructions printed inline</w:t>
            </w:r>
          </w:p>
        </w:tc>
      </w:tr>
      <w:tr>
        <w:tc>
          <w:tcPr>
            <w:tcW w:type="dxa" w:w="2304"/>
            <w:shd w:fill="FFFFFF" w:color="auto" w:val="clear"/>
          </w:tcPr>
          <w:p>
            <w:r/>
            <w:r>
              <w:rPr>
                <w:rFonts w:ascii="Calibri" w:hAnsi="Calibri"/>
                <w:sz w:val="20"/>
              </w:rPr>
              <w:t>ERROR</w:t>
            </w:r>
          </w:p>
        </w:tc>
        <w:tc>
          <w:tcPr>
            <w:tcW w:type="dxa" w:w="7200"/>
            <w:shd w:fill="FFFFFF" w:color="auto" w:val="clear"/>
          </w:tcPr>
          <w:p>
            <w:r/>
            <w:r>
              <w:rPr>
                <w:rFonts w:ascii="Calibri" w:hAnsi="Calibri"/>
                <w:sz w:val="20"/>
              </w:rPr>
              <w:t>Connection issue at runtime — skill continues with graceful fallback</w:t>
            </w:r>
          </w:p>
        </w:tc>
      </w:tr>
    </w:tbl>
    <w:p>
      <w:pPr>
        <w:spacing w:before="80" w:after="0"/>
      </w:pPr>
    </w:p>
    <w:p>
      <w:pPr>
        <w:spacing w:before="120" w:after="120"/>
        <w:ind w:left="288" w:right="288"/>
        <w:shd w:fill="EBF5FF" w:color="auto" w:val="clear"/>
      </w:pPr>
      <w:r>
        <w:rPr>
          <w:rFonts w:ascii="Calibri" w:hAnsi="Calibri"/>
          <w:i/>
          <w:sz w:val="20"/>
        </w:rPr>
        <w:t>No skill fails or stops because of a MISSING knowledge source. The framework always degrades gracefully and tells you how to enable the enrichment if you want it.</w:t>
      </w:r>
    </w:p>
    <w:p>
      <w:pPr>
        <w:spacing w:before="120" w:after="0"/>
      </w:pPr>
    </w:p>
    <w:p>
      <w:pPr>
        <w:spacing w:before="200" w:after="80"/>
      </w:pPr>
      <w:r>
        <w:rPr>
          <w:rFonts w:ascii="Calibri" w:hAnsi="Calibri"/>
          <w:b/>
          <w:color w:val="2D6A9F"/>
          <w:sz w:val="26"/>
        </w:rPr>
        <w:t>4.3  Mandatory confirmation gates (clinical and PHI-bearing workflows)</w:t>
      </w:r>
    </w:p>
    <w:p>
      <w:pPr>
        <w:spacing w:before="40" w:after="100"/>
      </w:pPr>
      <w:r>
        <w:rPr>
          <w:rFonts w:ascii="Calibri" w:hAnsi="Calibri"/>
          <w:b w:val="0"/>
          <w:i w:val="0"/>
          <w:sz w:val="22"/>
        </w:rPr>
        <w:t>For workflows involving clinical data or PHI, the framework enforces a three-layer guardrail system:</w:t>
      </w:r>
    </w:p>
    <w:tbl>
      <w:tblPr>
        <w:tblStyle w:val="TableGrid"/>
        <w:tblW w:type="auto" w:w="0"/>
        <w:tblLook w:firstColumn="1" w:firstRow="1" w:lastColumn="0" w:lastRow="0" w:noHBand="0" w:noVBand="1" w:val="04A0"/>
      </w:tblPr>
      <w:tblGrid>
        <w:gridCol w:w="2928"/>
        <w:gridCol w:w="2928"/>
        <w:gridCol w:w="2928"/>
      </w:tblGrid>
      <w:tr>
        <w:tc>
          <w:tcPr>
            <w:tcW w:type="dxa" w:w="864"/>
            <w:shd w:fill="29B5E8" w:color="auto" w:val="clear"/>
          </w:tcPr>
          <w:p>
            <w:r/>
            <w:r>
              <w:rPr>
                <w:rFonts w:ascii="Calibri" w:hAnsi="Calibri"/>
                <w:b/>
                <w:color w:val="FFFFFF"/>
                <w:sz w:val="20"/>
              </w:rPr>
              <w:t>Layer</w:t>
            </w:r>
          </w:p>
        </w:tc>
        <w:tc>
          <w:tcPr>
            <w:tcW w:type="dxa" w:w="2880"/>
            <w:shd w:fill="29B5E8" w:color="auto" w:val="clear"/>
          </w:tcPr>
          <w:p>
            <w:r/>
            <w:r>
              <w:rPr>
                <w:rFonts w:ascii="Calibri" w:hAnsi="Calibri"/>
                <w:b/>
                <w:color w:val="FFFFFF"/>
                <w:sz w:val="20"/>
              </w:rPr>
              <w:t>Mechanism</w:t>
            </w:r>
          </w:p>
        </w:tc>
        <w:tc>
          <w:tcPr>
            <w:tcW w:type="dxa" w:w="7056"/>
            <w:shd w:fill="29B5E8" w:color="auto" w:val="clear"/>
          </w:tcPr>
          <w:p>
            <w:r/>
            <w:r>
              <w:rPr>
                <w:rFonts w:ascii="Calibri" w:hAnsi="Calibri"/>
                <w:b/>
                <w:color w:val="FFFFFF"/>
                <w:sz w:val="20"/>
              </w:rPr>
              <w:t>What it does</w:t>
            </w:r>
          </w:p>
        </w:tc>
      </w:tr>
      <w:tr>
        <w:tc>
          <w:tcPr>
            <w:tcW w:type="dxa" w:w="864"/>
            <w:shd w:fill="FFFFFF" w:color="auto" w:val="clear"/>
          </w:tcPr>
          <w:p>
            <w:r/>
            <w:r>
              <w:rPr>
                <w:rFonts w:ascii="Calibri" w:hAnsi="Calibri"/>
                <w:sz w:val="20"/>
              </w:rPr>
              <w:t>1</w:t>
            </w:r>
          </w:p>
        </w:tc>
        <w:tc>
          <w:tcPr>
            <w:tcW w:type="dxa" w:w="2880"/>
            <w:shd w:fill="FFFFFF" w:color="auto" w:val="clear"/>
          </w:tcPr>
          <w:p>
            <w:r/>
            <w:r>
              <w:rPr>
                <w:rFonts w:ascii="Calibri" w:hAnsi="Calibri"/>
                <w:sz w:val="20"/>
              </w:rPr>
              <w:t>Session rules</w:t>
            </w:r>
          </w:p>
        </w:tc>
        <w:tc>
          <w:tcPr>
            <w:tcW w:type="dxa" w:w="7056"/>
            <w:shd w:fill="FFFFFF" w:color="auto" w:val="clear"/>
          </w:tcPr>
          <w:p>
            <w:r/>
            <w:r>
              <w:rPr>
                <w:rFonts w:ascii="Calibri" w:hAnsi="Calibri"/>
                <w:sz w:val="20"/>
              </w:rPr>
              <w:t>Profile-level constraints applied to every conversation in the session</w:t>
            </w:r>
          </w:p>
        </w:tc>
      </w:tr>
      <w:tr>
        <w:tc>
          <w:tcPr>
            <w:tcW w:type="dxa" w:w="864"/>
            <w:shd w:fill="F2F2F2" w:color="auto" w:val="clear"/>
          </w:tcPr>
          <w:p>
            <w:r/>
            <w:r>
              <w:rPr>
                <w:rFonts w:ascii="Calibri" w:hAnsi="Calibri"/>
                <w:sz w:val="20"/>
              </w:rPr>
              <w:t>2</w:t>
            </w:r>
          </w:p>
        </w:tc>
        <w:tc>
          <w:tcPr>
            <w:tcW w:type="dxa" w:w="2880"/>
            <w:shd w:fill="F2F2F2" w:color="auto" w:val="clear"/>
          </w:tcPr>
          <w:p>
            <w:r/>
            <w:r>
              <w:rPr>
                <w:rFonts w:ascii="Calibri" w:hAnsi="Calibri"/>
                <w:sz w:val="20"/>
              </w:rPr>
              <w:t>Confirmation gates</w:t>
            </w:r>
          </w:p>
        </w:tc>
        <w:tc>
          <w:tcPr>
            <w:tcW w:type="dxa" w:w="7056"/>
            <w:shd w:fill="F2F2F2" w:color="auto" w:val="clear"/>
          </w:tcPr>
          <w:p>
            <w:r/>
            <w:r>
              <w:rPr>
                <w:rFonts w:ascii="Calibri" w:hAnsi="Calibri"/>
                <w:sz w:val="20"/>
              </w:rPr>
              <w:t>Structured decision points the model cannot skip — each requires your explicit confirmation before the next phase runs</w:t>
            </w:r>
          </w:p>
        </w:tc>
      </w:tr>
      <w:tr>
        <w:tc>
          <w:tcPr>
            <w:tcW w:type="dxa" w:w="864"/>
            <w:shd w:fill="FFFFFF" w:color="auto" w:val="clear"/>
          </w:tcPr>
          <w:p>
            <w:r/>
            <w:r>
              <w:rPr>
                <w:rFonts w:ascii="Calibri" w:hAnsi="Calibri"/>
                <w:sz w:val="20"/>
              </w:rPr>
              <w:t>3</w:t>
            </w:r>
          </w:p>
        </w:tc>
        <w:tc>
          <w:tcPr>
            <w:tcW w:type="dxa" w:w="2880"/>
            <w:shd w:fill="FFFFFF" w:color="auto" w:val="clear"/>
          </w:tcPr>
          <w:p>
            <w:r/>
            <w:r>
              <w:rPr>
                <w:rFonts w:ascii="Calibri" w:hAnsi="Calibri"/>
                <w:sz w:val="20"/>
              </w:rPr>
              <w:t>Execution hooks</w:t>
            </w:r>
          </w:p>
        </w:tc>
        <w:tc>
          <w:tcPr>
            <w:tcW w:type="dxa" w:w="7056"/>
            <w:shd w:fill="FFFFFF" w:color="auto" w:val="clear"/>
          </w:tcPr>
          <w:p>
            <w:r/>
            <w:r>
              <w:rPr>
                <w:rFonts w:ascii="Calibri" w:hAnsi="Calibri"/>
                <w:sz w:val="20"/>
              </w:rPr>
              <w:t>Hard blocks on DDL or DML operations without prior explicit confirmation</w:t>
            </w:r>
          </w:p>
        </w:tc>
      </w:tr>
    </w:tbl>
    <w:p>
      <w:pPr>
        <w:spacing w:before="80" w:after="0"/>
      </w:pPr>
    </w:p>
    <w:p>
      <w:pPr>
        <w:spacing w:before="120" w:after="120"/>
        <w:ind w:left="288" w:right="288"/>
        <w:shd w:fill="FFF3CD" w:color="auto" w:val="clear"/>
      </w:pPr>
      <w:r>
        <w:rPr>
          <w:rFonts w:ascii="Calibri" w:hAnsi="Calibri"/>
          <w:i/>
          <w:sz w:val="20"/>
        </w:rPr>
        <w:t>MANDATORY STOP gates are intentional — not a bug. Each gate requires your explicit confirmation before execution proceeds. This prevents irreversible actions on clinical or PHI data without your sign-off. Do not try to pre-answer or bypass them — the framework will not skip a gate.</w:t>
      </w:r>
    </w:p>
    <w:p>
      <w:r>
        <w:br w:type="page"/>
      </w:r>
    </w:p>
    <w:p>
      <w:pPr>
        <w:spacing w:before="280" w:after="80"/>
      </w:pPr>
      <w:r>
        <w:rPr>
          <w:rFonts w:ascii="Calibri" w:hAnsi="Calibri"/>
          <w:b/>
          <w:color w:val="1B3A5C"/>
          <w:sz w:val="34"/>
        </w:rPr>
        <w:t>Section 5 — Worked Example: End-to-End Conversation</w:t>
      </w:r>
    </w:p>
    <w:p>
      <w:pPr>
        <w:spacing w:before="40" w:after="100"/>
      </w:pPr>
      <w:r>
        <w:rPr>
          <w:rFonts w:ascii="Calibri" w:hAnsi="Calibri"/>
          <w:b w:val="0"/>
          <w:i w:val="0"/>
          <w:sz w:val="22"/>
        </w:rPr>
        <w:t>The following is a complete annotated conversation transcript showing exactly what a user types and exactly what the orchestrator responds with at each turn. Annotations explain which framework mechanism fired and why.</w:t>
      </w:r>
    </w:p>
    <w:p>
      <w:pPr>
        <w:spacing w:before="60" w:after="0"/>
      </w:pPr>
    </w:p>
    <w:p>
      <w:pPr>
        <w:spacing w:before="40" w:after="100"/>
      </w:pPr>
      <w:r>
        <w:rPr>
          <w:rFonts w:ascii="Calibri" w:hAnsi="Calibri"/>
          <w:b/>
          <w:i w:val="0"/>
          <w:sz w:val="22"/>
        </w:rPr>
        <w:t>Scenario:</w:t>
      </w:r>
    </w:p>
    <w:p>
      <w:pPr>
        <w:spacing w:before="40" w:after="100"/>
      </w:pPr>
      <w:r>
        <w:rPr>
          <w:rFonts w:ascii="Calibri" w:hAnsi="Calibri"/>
          <w:b w:val="0"/>
          <w:i w:val="0"/>
          <w:sz w:val="22"/>
        </w:rPr>
        <w:t>A hospital data team has approximately 150 clinical documents — discharge summaries and pathology reports — stored in a Snowflake internal stage. They need structured clinical data extracted from those documents and a semantic search interface built so their analysts can query them.</w:t>
      </w:r>
    </w:p>
    <w:p>
      <w:pPr>
        <w:spacing w:before="120" w:after="0"/>
      </w:pPr>
    </w:p>
    <w:p>
      <w:pPr>
        <w:spacing w:before="200" w:after="0"/>
        <w:shd w:fill="29B5E8" w:color="auto" w:val="clear"/>
      </w:pPr>
      <w:r>
        <w:rPr>
          <w:rFonts w:ascii="Calibri" w:hAnsi="Calibri"/>
          <w:b/>
          <w:color w:val="FFFFFF"/>
          <w:sz w:val="18"/>
        </w:rPr>
        <w:t xml:space="preserve">  USER</w:t>
      </w:r>
    </w:p>
    <w:p>
      <w:pPr>
        <w:spacing w:before="0" w:after="40"/>
        <w:ind w:left="216"/>
        <w:shd w:fill="E8F4FD" w:color="auto" w:val="clear"/>
      </w:pPr>
      <w:r>
        <w:rPr>
          <w:rFonts w:ascii="Calibri" w:hAnsi="Calibri"/>
          <w:i/>
          <w:sz w:val="20"/>
        </w:rPr>
        <w:t>"Our clinical team has uploaded about 150 discharge summaries and pathology reports to a Snowflake internal stage. We need to extract structured clinical data from these documents and build a way for our analysts to search them semantically."</w:t>
      </w:r>
    </w:p>
    <w:p>
      <w:pPr>
        <w:spacing w:before="60" w:after="160"/>
        <w:ind w:left="288" w:right="288"/>
        <w:shd w:fill="FAFAFA" w:color="auto" w:val="clear"/>
      </w:pPr>
      <w:r>
        <w:rPr>
          <w:rFonts w:ascii="Calibri" w:hAnsi="Calibri"/>
          <w:i/>
          <w:color w:val="777777"/>
          <w:sz w:val="18"/>
        </w:rPr>
        <w:t>The user describes the business problem in plain language — data source, what they have, what outcome they need. No skill name or technical instruction required.</w:t>
      </w:r>
    </w:p>
    <w:p>
      <w:pPr>
        <w:spacing w:before="120" w:after="0"/>
        <w:shd w:fill="1B3A5C" w:color="auto" w:val="clear"/>
      </w:pPr>
      <w:r>
        <w:rPr>
          <w:rFonts w:ascii="Calibri" w:hAnsi="Calibri"/>
          <w:b/>
          <w:color w:val="FFFFFF"/>
          <w:sz w:val="18"/>
        </w:rPr>
        <w:t xml:space="preserve">  ORCHESTRATOR  —  Phase 1 — Plan</w:t>
      </w:r>
    </w:p>
    <w:p>
      <w:pPr>
        <w:spacing w:before="0" w:after="20"/>
        <w:ind w:left="216"/>
        <w:shd w:fill="F0F0F0" w:color="auto" w:val="clear"/>
      </w:pPr>
      <w:r>
        <w:rPr>
          <w:rFonts w:ascii="Calibri" w:hAnsi="Calibri"/>
          <w:b w:val="0"/>
          <w:sz w:val="20"/>
        </w:rPr>
        <w:t>I understand the goal. Before running anything, here is my proposed plan:</w:t>
        <w:br/>
      </w:r>
    </w:p>
    <w:p>
      <w:pPr>
        <w:spacing w:before="0" w:after="20"/>
        <w:ind w:left="216"/>
        <w:shd w:fill="F0F0F0" w:color="auto" w:val="clear"/>
      </w:pPr>
      <w:r>
        <w:rPr>
          <w:rFonts w:ascii="Calibri" w:hAnsi="Calibri"/>
          <w:b w:val="0"/>
          <w:sz w:val="20"/>
        </w:rPr>
        <w:t>Sub-industry: Provider — Clinical Data Management</w:t>
      </w:r>
    </w:p>
    <w:p>
      <w:pPr>
        <w:spacing w:before="0" w:after="20"/>
        <w:ind w:left="216"/>
        <w:shd w:fill="F0F0F0" w:color="auto" w:val="clear"/>
      </w:pPr>
      <w:r>
        <w:rPr>
          <w:rFonts w:ascii="Calibri" w:hAnsi="Calibri"/>
          <w:b w:val="0"/>
          <w:sz w:val="20"/>
        </w:rPr>
        <w:t>Pattern: Document extraction pipeline + semantic search</w:t>
        <w:br/>
      </w:r>
    </w:p>
    <w:p>
      <w:pPr>
        <w:spacing w:before="0" w:after="20"/>
        <w:ind w:left="216"/>
        <w:shd w:fill="F0F0F0" w:color="auto" w:val="clear"/>
      </w:pPr>
      <w:r>
        <w:rPr>
          <w:rFonts w:ascii="Courier New" w:hAnsi="Courier New"/>
          <w:b w:val="0"/>
          <w:sz w:val="18"/>
        </w:rPr>
        <w:t>| Step | Skill                          | What it produces                        | Depends on | Governance |</w:t>
      </w:r>
    </w:p>
    <w:p>
      <w:pPr>
        <w:spacing w:before="0" w:after="20"/>
        <w:ind w:left="216"/>
        <w:shd w:fill="F0F0F0" w:color="auto" w:val="clear"/>
      </w:pPr>
      <w:r>
        <w:rPr>
          <w:rFonts w:ascii="Courier New" w:hAnsi="Courier New"/>
          <w:b w:val="0"/>
          <w:sz w:val="18"/>
        </w:rPr>
        <w:t>|------|--------------------------------|-----------------------------------------|------------|------------|</w:t>
      </w:r>
    </w:p>
    <w:p>
      <w:pPr>
        <w:spacing w:before="0" w:after="20"/>
        <w:ind w:left="216"/>
        <w:shd w:fill="F0F0F0" w:color="auto" w:val="clear"/>
      </w:pPr>
      <w:r>
        <w:rPr>
          <w:rFonts w:ascii="Courier New" w:hAnsi="Courier New"/>
          <w:b w:val="0"/>
          <w:sz w:val="18"/>
        </w:rPr>
        <w:t>|  1   | Clinical document extraction   | Structured tables from parsed documents | —          | PHI present|</w:t>
      </w:r>
    </w:p>
    <w:p>
      <w:pPr>
        <w:spacing w:before="0" w:after="20"/>
        <w:ind w:left="216"/>
        <w:shd w:fill="F0F0F0" w:color="auto" w:val="clear"/>
      </w:pPr>
      <w:r>
        <w:rPr>
          <w:rFonts w:ascii="Courier New" w:hAnsi="Courier New"/>
          <w:b w:val="0"/>
          <w:sz w:val="18"/>
        </w:rPr>
        <w:t>|  2   | Semantic search setup          | Cortex Search Service over content      | Step 1     | PHI present|</w:t>
      </w:r>
    </w:p>
    <w:p>
      <w:pPr>
        <w:spacing w:before="0" w:after="20"/>
        <w:ind w:left="216"/>
        <w:shd w:fill="F0F0F0" w:color="auto" w:val="clear"/>
      </w:pPr>
      <w:r>
        <w:rPr>
          <w:rFonts w:ascii="Calibri" w:hAnsi="Calibri"/>
          <w:b w:val="0"/>
          <w:sz w:val="20"/>
        </w:rPr>
        <w:br/>
        <w:t>Both steps involve PHI — governance guardrails will be active throughout.</w:t>
      </w:r>
    </w:p>
    <w:p>
      <w:pPr>
        <w:spacing w:before="0" w:after="20"/>
        <w:ind w:left="216"/>
        <w:shd w:fill="F0F0F0" w:color="auto" w:val="clear"/>
      </w:pPr>
      <w:r>
        <w:rPr>
          <w:rFonts w:ascii="Calibri" w:hAnsi="Calibri"/>
          <w:b w:val="0"/>
          <w:sz w:val="20"/>
        </w:rPr>
        <w:t>Shall I proceed with this plan, or would you like to modify it?</w:t>
      </w:r>
    </w:p>
    <w:p>
      <w:pPr>
        <w:spacing w:before="60" w:after="160"/>
        <w:ind w:left="288" w:right="288"/>
        <w:shd w:fill="FAFAFA" w:color="auto" w:val="clear"/>
      </w:pPr>
      <w:r>
        <w:rPr>
          <w:rFonts w:ascii="Calibri" w:hAnsi="Calibri"/>
          <w:i/>
          <w:color w:val="777777"/>
          <w:sz w:val="18"/>
        </w:rPr>
        <w:t>This is Phase 1 — the Plan gate. The orchestrator has identified the appropriate domain capabilities, built the plan table, and is waiting for explicit approval. Nothing has executed. No SQL has run. No data has changed.</w:t>
      </w:r>
    </w:p>
    <w:p>
      <w:pPr>
        <w:spacing w:before="200" w:after="0"/>
        <w:shd w:fill="29B5E8" w:color="auto" w:val="clear"/>
      </w:pPr>
      <w:r>
        <w:rPr>
          <w:rFonts w:ascii="Calibri" w:hAnsi="Calibri"/>
          <w:b/>
          <w:color w:val="FFFFFF"/>
          <w:sz w:val="18"/>
        </w:rPr>
        <w:t xml:space="preserve">  USER</w:t>
      </w:r>
    </w:p>
    <w:p>
      <w:pPr>
        <w:spacing w:before="0" w:after="40"/>
        <w:ind w:left="216"/>
        <w:shd w:fill="E8F4FD" w:color="auto" w:val="clear"/>
      </w:pPr>
      <w:r>
        <w:rPr>
          <w:rFonts w:ascii="Calibri" w:hAnsi="Calibri"/>
          <w:i/>
          <w:sz w:val="20"/>
        </w:rPr>
        <w:t>"Looks good, go ahead."</w:t>
      </w:r>
    </w:p>
    <w:p>
      <w:pPr>
        <w:spacing w:before="60" w:after="160"/>
        <w:ind w:left="288" w:right="288"/>
        <w:shd w:fill="FAFAFA" w:color="auto" w:val="clear"/>
      </w:pPr>
      <w:r>
        <w:rPr>
          <w:rFonts w:ascii="Calibri" w:hAnsi="Calibri"/>
          <w:i/>
          <w:color w:val="777777"/>
          <w:sz w:val="18"/>
        </w:rPr>
        <w:t>User approves. Phase 2 begins. This is the first point at which the orchestrator invokes any domain skill.</w:t>
      </w:r>
    </w:p>
    <w:p>
      <w:pPr>
        <w:spacing w:before="120" w:after="0"/>
        <w:shd w:fill="1B3A5C" w:color="auto" w:val="clear"/>
      </w:pPr>
      <w:r>
        <w:rPr>
          <w:rFonts w:ascii="Calibri" w:hAnsi="Calibri"/>
          <w:b/>
          <w:color w:val="FFFFFF"/>
          <w:sz w:val="18"/>
        </w:rPr>
        <w:t xml:space="preserve">  ORCHESTRATOR  —  MANDATORY STOP — Gate 1: Environment</w:t>
      </w:r>
    </w:p>
    <w:p>
      <w:pPr>
        <w:spacing w:before="0" w:after="20"/>
        <w:ind w:left="216"/>
        <w:shd w:fill="F0F0F0" w:color="auto" w:val="clear"/>
      </w:pPr>
      <w:r>
        <w:rPr>
          <w:rFonts w:ascii="Calibri" w:hAnsi="Calibri"/>
          <w:b w:val="0"/>
          <w:sz w:val="20"/>
        </w:rPr>
        <w:t>Before I run anything, I need to confirm your Snowflake environment.</w:t>
        <w:br/>
      </w:r>
    </w:p>
    <w:p>
      <w:pPr>
        <w:spacing w:before="0" w:after="20"/>
        <w:ind w:left="216"/>
        <w:shd w:fill="F0F0F0" w:color="auto" w:val="clear"/>
      </w:pPr>
      <w:r>
        <w:rPr>
          <w:rFonts w:ascii="Calibri" w:hAnsi="Calibri"/>
          <w:b/>
          <w:sz w:val="20"/>
        </w:rPr>
        <w:t>Detected:</w:t>
      </w:r>
    </w:p>
    <w:p>
      <w:pPr>
        <w:spacing w:before="0" w:after="20"/>
        <w:ind w:left="216"/>
        <w:shd w:fill="F0F0F0" w:color="auto" w:val="clear"/>
      </w:pPr>
      <w:r>
        <w:rPr>
          <w:rFonts w:ascii="Courier New" w:hAnsi="Courier New"/>
          <w:b w:val="0"/>
          <w:sz w:val="18"/>
        </w:rPr>
        <w:t xml:space="preserve">  Account:    MYCOMPANY-PROD</w:t>
      </w:r>
    </w:p>
    <w:p>
      <w:pPr>
        <w:spacing w:before="0" w:after="20"/>
        <w:ind w:left="216"/>
        <w:shd w:fill="F0F0F0" w:color="auto" w:val="clear"/>
      </w:pPr>
      <w:r>
        <w:rPr>
          <w:rFonts w:ascii="Courier New" w:hAnsi="Courier New"/>
          <w:b w:val="0"/>
          <w:sz w:val="18"/>
        </w:rPr>
        <w:t xml:space="preserve">  Role:       DATA_ENGINEER</w:t>
      </w:r>
    </w:p>
    <w:p>
      <w:pPr>
        <w:spacing w:before="0" w:after="20"/>
        <w:ind w:left="216"/>
        <w:shd w:fill="F0F0F0" w:color="auto" w:val="clear"/>
      </w:pPr>
      <w:r>
        <w:rPr>
          <w:rFonts w:ascii="Courier New" w:hAnsi="Courier New"/>
          <w:b w:val="0"/>
          <w:sz w:val="18"/>
        </w:rPr>
        <w:t xml:space="preserve">  Warehouse:  COMPUTE_WH</w:t>
        <w:br/>
      </w:r>
    </w:p>
    <w:p>
      <w:pPr>
        <w:spacing w:before="0" w:after="20"/>
        <w:ind w:left="216"/>
        <w:shd w:fill="F0F0F0" w:color="auto" w:val="clear"/>
      </w:pPr>
      <w:r>
        <w:rPr>
          <w:rFonts w:ascii="Calibri" w:hAnsi="Calibri"/>
          <w:b w:val="0"/>
          <w:sz w:val="20"/>
        </w:rPr>
        <w:t>Is this the correct environment? Would you like to use a different warehouse?</w:t>
      </w:r>
    </w:p>
    <w:p>
      <w:pPr>
        <w:spacing w:before="60" w:after="160"/>
        <w:ind w:left="288" w:right="288"/>
        <w:shd w:fill="FAFAFA" w:color="auto" w:val="clear"/>
      </w:pPr>
      <w:r>
        <w:rPr>
          <w:rFonts w:ascii="Calibri" w:hAnsi="Calibri"/>
          <w:i/>
          <w:color w:val="777777"/>
          <w:sz w:val="18"/>
        </w:rPr>
        <w:t>Gate 1 is a mandatory stop — the skill cannot proceed until the environment is explicitly confirmed. This prevents accidental execution against the wrong account or role. Even if the user mentioned the environment earlier, the gate still fires.</w:t>
      </w:r>
    </w:p>
    <w:p>
      <w:pPr>
        <w:spacing w:before="200" w:after="0"/>
        <w:shd w:fill="29B5E8" w:color="auto" w:val="clear"/>
      </w:pPr>
      <w:r>
        <w:rPr>
          <w:rFonts w:ascii="Calibri" w:hAnsi="Calibri"/>
          <w:b/>
          <w:color w:val="FFFFFF"/>
          <w:sz w:val="18"/>
        </w:rPr>
        <w:t xml:space="preserve">  USER</w:t>
      </w:r>
    </w:p>
    <w:p>
      <w:pPr>
        <w:spacing w:before="0" w:after="40"/>
        <w:ind w:left="216"/>
        <w:shd w:fill="E8F4FD" w:color="auto" w:val="clear"/>
      </w:pPr>
      <w:r>
        <w:rPr>
          <w:rFonts w:ascii="Calibri" w:hAnsi="Calibri"/>
          <w:i/>
          <w:sz w:val="20"/>
        </w:rPr>
        <w:t>"Yes, that is correct. Use COMPUTE_WH."</w:t>
      </w:r>
    </w:p>
    <w:p>
      <w:pPr>
        <w:spacing w:before="120" w:after="0"/>
        <w:shd w:fill="1B3A5C" w:color="auto" w:val="clear"/>
      </w:pPr>
      <w:r>
        <w:rPr>
          <w:rFonts w:ascii="Calibri" w:hAnsi="Calibri"/>
          <w:b/>
          <w:color w:val="FFFFFF"/>
          <w:sz w:val="18"/>
        </w:rPr>
        <w:t xml:space="preserve">  ORCHESTRATOR  —  MANDATORY STOP — Gate 2: Target Objects</w:t>
      </w:r>
    </w:p>
    <w:p>
      <w:pPr>
        <w:spacing w:before="0" w:after="20"/>
        <w:ind w:left="216"/>
        <w:shd w:fill="F0F0F0" w:color="auto" w:val="clear"/>
      </w:pPr>
      <w:r>
        <w:rPr>
          <w:rFonts w:ascii="Calibri" w:hAnsi="Calibri"/>
          <w:b w:val="0"/>
          <w:sz w:val="20"/>
        </w:rPr>
        <w:t>Where are the source documents? Please confirm the target database, schema, and stage:</w:t>
        <w:br/>
      </w:r>
    </w:p>
    <w:p>
      <w:pPr>
        <w:spacing w:before="0" w:after="20"/>
        <w:ind w:left="216"/>
        <w:shd w:fill="F0F0F0" w:color="auto" w:val="clear"/>
      </w:pPr>
      <w:r>
        <w:rPr>
          <w:rFonts w:ascii="Courier New" w:hAnsi="Courier New"/>
          <w:b w:val="0"/>
          <w:sz w:val="18"/>
        </w:rPr>
        <w:t xml:space="preserve">  Database:  ?</w:t>
      </w:r>
    </w:p>
    <w:p>
      <w:pPr>
        <w:spacing w:before="0" w:after="20"/>
        <w:ind w:left="216"/>
        <w:shd w:fill="F0F0F0" w:color="auto" w:val="clear"/>
      </w:pPr>
      <w:r>
        <w:rPr>
          <w:rFonts w:ascii="Courier New" w:hAnsi="Courier New"/>
          <w:b w:val="0"/>
          <w:sz w:val="18"/>
        </w:rPr>
        <w:t xml:space="preserve">  Schema:    ?</w:t>
      </w:r>
    </w:p>
    <w:p>
      <w:pPr>
        <w:spacing w:before="0" w:after="20"/>
        <w:ind w:left="216"/>
        <w:shd w:fill="F0F0F0" w:color="auto" w:val="clear"/>
      </w:pPr>
      <w:r>
        <w:rPr>
          <w:rFonts w:ascii="Courier New" w:hAnsi="Courier New"/>
          <w:b w:val="0"/>
          <w:sz w:val="18"/>
        </w:rPr>
        <w:t xml:space="preserve">  Stage:     ?</w:t>
      </w:r>
    </w:p>
    <w:p>
      <w:pPr>
        <w:spacing w:before="60" w:after="160"/>
        <w:ind w:left="288" w:right="288"/>
        <w:shd w:fill="FAFAFA" w:color="auto" w:val="clear"/>
      </w:pPr>
      <w:r>
        <w:rPr>
          <w:rFonts w:ascii="Calibri" w:hAnsi="Calibri"/>
          <w:i/>
          <w:color w:val="777777"/>
          <w:sz w:val="18"/>
        </w:rPr>
        <w:t>Gate 2 asks for the exact Snowflake objects before any DDL or COPY INTO runs. This ensures the pipeline is built in the right location.</w:t>
      </w:r>
    </w:p>
    <w:p>
      <w:pPr>
        <w:spacing w:before="200" w:after="0"/>
        <w:shd w:fill="29B5E8" w:color="auto" w:val="clear"/>
      </w:pPr>
      <w:r>
        <w:rPr>
          <w:rFonts w:ascii="Calibri" w:hAnsi="Calibri"/>
          <w:b/>
          <w:color w:val="FFFFFF"/>
          <w:sz w:val="18"/>
        </w:rPr>
        <w:t xml:space="preserve">  USER</w:t>
      </w:r>
    </w:p>
    <w:p>
      <w:pPr>
        <w:spacing w:before="0" w:after="40"/>
        <w:ind w:left="216"/>
        <w:shd w:fill="E8F4FD" w:color="auto" w:val="clear"/>
      </w:pPr>
      <w:r>
        <w:rPr>
          <w:rFonts w:ascii="Calibri" w:hAnsi="Calibri"/>
          <w:i/>
          <w:sz w:val="20"/>
        </w:rPr>
        <w:t>"Use database HOSPITAL_DB, schema CLINICAL_DATA, stage DISCHARGE_DOCS_STAGE."</w:t>
      </w:r>
    </w:p>
    <w:p>
      <w:pPr>
        <w:spacing w:before="120" w:after="0"/>
        <w:shd w:fill="1B3A5C" w:color="auto" w:val="clear"/>
      </w:pPr>
      <w:r>
        <w:rPr>
          <w:rFonts w:ascii="Calibri" w:hAnsi="Calibri"/>
          <w:b/>
          <w:color w:val="FFFFFF"/>
          <w:sz w:val="18"/>
        </w:rPr>
        <w:t xml:space="preserve">  ORCHESTRATOR  —  MANDATORY STOP — Gate 3: Final Confirmation</w:t>
      </w:r>
    </w:p>
    <w:p>
      <w:pPr>
        <w:spacing w:before="0" w:after="20"/>
        <w:ind w:left="216"/>
        <w:shd w:fill="F0F0F0" w:color="auto" w:val="clear"/>
      </w:pPr>
      <w:r>
        <w:rPr>
          <w:rFonts w:ascii="Calibri" w:hAnsi="Calibri"/>
          <w:b w:val="0"/>
          <w:sz w:val="20"/>
        </w:rPr>
        <w:t>I will use the following configuration:</w:t>
        <w:br/>
      </w:r>
    </w:p>
    <w:p>
      <w:pPr>
        <w:spacing w:before="0" w:after="20"/>
        <w:ind w:left="216"/>
        <w:shd w:fill="F0F0F0" w:color="auto" w:val="clear"/>
      </w:pPr>
      <w:r>
        <w:rPr>
          <w:rFonts w:ascii="Courier New" w:hAnsi="Courier New"/>
          <w:b w:val="0"/>
          <w:sz w:val="18"/>
        </w:rPr>
        <w:t xml:space="preserve">  Database:  HOSPITAL_DB</w:t>
      </w:r>
    </w:p>
    <w:p>
      <w:pPr>
        <w:spacing w:before="0" w:after="20"/>
        <w:ind w:left="216"/>
        <w:shd w:fill="F0F0F0" w:color="auto" w:val="clear"/>
      </w:pPr>
      <w:r>
        <w:rPr>
          <w:rFonts w:ascii="Courier New" w:hAnsi="Courier New"/>
          <w:b w:val="0"/>
          <w:sz w:val="18"/>
        </w:rPr>
        <w:t xml:space="preserve">  Schema:    CLINICAL_DATA</w:t>
      </w:r>
    </w:p>
    <w:p>
      <w:pPr>
        <w:spacing w:before="0" w:after="20"/>
        <w:ind w:left="216"/>
        <w:shd w:fill="F0F0F0" w:color="auto" w:val="clear"/>
      </w:pPr>
      <w:r>
        <w:rPr>
          <w:rFonts w:ascii="Courier New" w:hAnsi="Courier New"/>
          <w:b w:val="0"/>
          <w:sz w:val="18"/>
        </w:rPr>
        <w:t xml:space="preserve">  Stage:     DISCHARGE_DOCS_STAGE</w:t>
        <w:br/>
      </w:r>
    </w:p>
    <w:p>
      <w:pPr>
        <w:spacing w:before="0" w:after="20"/>
        <w:ind w:left="216"/>
        <w:shd w:fill="F0F0F0" w:color="auto" w:val="clear"/>
      </w:pPr>
      <w:r>
        <w:rPr>
          <w:rFonts w:ascii="Calibri" w:hAnsi="Calibri"/>
          <w:b w:val="0"/>
          <w:sz w:val="20"/>
        </w:rPr>
        <w:t>I will run the extraction pipeline first (Step 1), then build the search service (Step 2).</w:t>
      </w:r>
    </w:p>
    <w:p>
      <w:pPr>
        <w:spacing w:before="0" w:after="20"/>
        <w:ind w:left="216"/>
        <w:shd w:fill="F0F0F0" w:color="auto" w:val="clear"/>
      </w:pPr>
      <w:r>
        <w:rPr>
          <w:rFonts w:ascii="Calibri" w:hAnsi="Calibri"/>
          <w:b w:val="0"/>
          <w:sz w:val="20"/>
        </w:rPr>
        <w:t>Ready to start?</w:t>
      </w:r>
    </w:p>
    <w:p>
      <w:pPr>
        <w:spacing w:before="60" w:after="160"/>
        <w:ind w:left="288" w:right="288"/>
        <w:shd w:fill="FAFAFA" w:color="auto" w:val="clear"/>
      </w:pPr>
      <w:r>
        <w:rPr>
          <w:rFonts w:ascii="Calibri" w:hAnsi="Calibri"/>
          <w:i/>
          <w:color w:val="777777"/>
          <w:sz w:val="18"/>
        </w:rPr>
        <w:t>Gate 3 is the final confirmation before DDL runs. The orchestrator restates the full configuration so the user can catch any error before irreversible changes begin.</w:t>
      </w:r>
    </w:p>
    <w:p>
      <w:pPr>
        <w:spacing w:before="200" w:after="0"/>
        <w:shd w:fill="29B5E8" w:color="auto" w:val="clear"/>
      </w:pPr>
      <w:r>
        <w:rPr>
          <w:rFonts w:ascii="Calibri" w:hAnsi="Calibri"/>
          <w:b/>
          <w:color w:val="FFFFFF"/>
          <w:sz w:val="18"/>
        </w:rPr>
        <w:t xml:space="preserve">  USER</w:t>
      </w:r>
    </w:p>
    <w:p>
      <w:pPr>
        <w:spacing w:before="0" w:after="40"/>
        <w:ind w:left="216"/>
        <w:shd w:fill="E8F4FD" w:color="auto" w:val="clear"/>
      </w:pPr>
      <w:r>
        <w:rPr>
          <w:rFonts w:ascii="Calibri" w:hAnsi="Calibri"/>
          <w:i/>
          <w:sz w:val="20"/>
        </w:rPr>
        <w:t>"Yes, go ahead."</w:t>
      </w:r>
    </w:p>
    <w:p>
      <w:pPr>
        <w:spacing w:before="120" w:after="0"/>
        <w:shd w:fill="1B3A5C" w:color="auto" w:val="clear"/>
      </w:pPr>
      <w:r>
        <w:rPr>
          <w:rFonts w:ascii="Calibri" w:hAnsi="Calibri"/>
          <w:b/>
          <w:color w:val="FFFFFF"/>
          <w:sz w:val="18"/>
        </w:rPr>
        <w:t xml:space="preserve">  ORCHESTRATOR  —  Step 1 complete</w:t>
      </w:r>
    </w:p>
    <w:p>
      <w:pPr>
        <w:spacing w:before="0" w:after="20"/>
        <w:ind w:left="216"/>
        <w:shd w:fill="F0F0F0" w:color="auto" w:val="clear"/>
      </w:pPr>
      <w:r>
        <w:rPr>
          <w:rFonts w:ascii="Calibri" w:hAnsi="Calibri"/>
          <w:b/>
          <w:sz w:val="20"/>
        </w:rPr>
        <w:t>Extraction pipeline finished:</w:t>
        <w:br/>
      </w:r>
    </w:p>
    <w:p>
      <w:pPr>
        <w:spacing w:before="0" w:after="20"/>
        <w:ind w:left="216"/>
        <w:shd w:fill="F0F0F0" w:color="auto" w:val="clear"/>
      </w:pPr>
      <w:r>
        <w:rPr>
          <w:rFonts w:ascii="Courier New" w:hAnsi="Courier New"/>
          <w:b w:val="0"/>
          <w:sz w:val="18"/>
        </w:rPr>
        <w:t xml:space="preserve">  — 150 documents parsed</w:t>
      </w:r>
    </w:p>
    <w:p>
      <w:pPr>
        <w:spacing w:before="0" w:after="20"/>
        <w:ind w:left="216"/>
        <w:shd w:fill="F0F0F0" w:color="auto" w:val="clear"/>
      </w:pPr>
      <w:r>
        <w:rPr>
          <w:rFonts w:ascii="Courier New" w:hAnsi="Courier New"/>
          <w:b w:val="0"/>
          <w:sz w:val="18"/>
        </w:rPr>
        <w:t xml:space="preserve">  — 3 tables created: CLINICAL_DOCS_RAW, CLINICAL_DOCS_CLASSIFIED, CLINICAL_DOCS_EXTRACTED</w:t>
      </w:r>
    </w:p>
    <w:p>
      <w:pPr>
        <w:spacing w:before="0" w:after="20"/>
        <w:ind w:left="216"/>
        <w:shd w:fill="F0F0F0" w:color="auto" w:val="clear"/>
      </w:pPr>
      <w:r>
        <w:rPr>
          <w:rFonts w:ascii="Courier New" w:hAnsi="Courier New"/>
          <w:b w:val="0"/>
          <w:sz w:val="18"/>
        </w:rPr>
        <w:t xml:space="preserve">  — Document types: 89 discharge summaries, 61 pathology reports</w:t>
      </w:r>
    </w:p>
    <w:p>
      <w:pPr>
        <w:spacing w:before="0" w:after="20"/>
        <w:ind w:left="216"/>
        <w:shd w:fill="F0F0F0" w:color="auto" w:val="clear"/>
      </w:pPr>
      <w:r>
        <w:rPr>
          <w:rFonts w:ascii="Courier New" w:hAnsi="Courier New"/>
          <w:b w:val="0"/>
          <w:sz w:val="18"/>
        </w:rPr>
        <w:t xml:space="preserve">  — 2,847 structured clinical entities extracted</w:t>
        <w:br/>
      </w:r>
    </w:p>
    <w:p>
      <w:pPr>
        <w:spacing w:before="0" w:after="20"/>
        <w:ind w:left="216"/>
        <w:shd w:fill="F0F0F0" w:color="auto" w:val="clear"/>
      </w:pPr>
      <w:r>
        <w:rPr>
          <w:rFonts w:ascii="Calibri" w:hAnsi="Calibri"/>
          <w:b w:val="0"/>
          <w:sz w:val="20"/>
        </w:rPr>
        <w:t>Starting Step 2: building Cortex Search Service...</w:t>
        <w:br/>
      </w:r>
    </w:p>
    <w:p>
      <w:pPr>
        <w:spacing w:before="0" w:after="20"/>
        <w:ind w:left="216"/>
        <w:shd w:fill="F0F0F0" w:color="auto" w:val="clear"/>
      </w:pPr>
      <w:r>
        <w:rPr>
          <w:rFonts w:ascii="Calibri" w:hAnsi="Calibri"/>
          <w:b/>
          <w:sz w:val="20"/>
        </w:rPr>
        <w:t>Step 2 complete:</w:t>
      </w:r>
    </w:p>
    <w:p>
      <w:pPr>
        <w:spacing w:before="0" w:after="20"/>
        <w:ind w:left="216"/>
        <w:shd w:fill="F0F0F0" w:color="auto" w:val="clear"/>
      </w:pPr>
      <w:r>
        <w:rPr>
          <w:rFonts w:ascii="Courier New" w:hAnsi="Courier New"/>
          <w:b w:val="0"/>
          <w:sz w:val="18"/>
        </w:rPr>
        <w:t xml:space="preserve">  — Cortex Search Service created over CLINICAL_DOCS_EXTRACTED</w:t>
      </w:r>
    </w:p>
    <w:p>
      <w:pPr>
        <w:spacing w:before="0" w:after="20"/>
        <w:ind w:left="216"/>
        <w:shd w:fill="F0F0F0" w:color="auto" w:val="clear"/>
      </w:pPr>
      <w:r>
        <w:rPr>
          <w:rFonts w:ascii="Courier New" w:hAnsi="Courier New"/>
          <w:b w:val="0"/>
          <w:sz w:val="18"/>
        </w:rPr>
        <w:t xml:space="preserve">  — Service is ready for semantic queries</w:t>
        <w:br/>
      </w:r>
    </w:p>
    <w:p>
      <w:pPr>
        <w:spacing w:before="0" w:after="20"/>
        <w:ind w:left="216"/>
        <w:shd w:fill="F0F0F0" w:color="auto" w:val="clear"/>
      </w:pPr>
      <w:r>
        <w:rPr>
          <w:rFonts w:ascii="Calibri" w:hAnsi="Calibri"/>
          <w:b w:val="0"/>
          <w:sz w:val="20"/>
        </w:rPr>
        <w:t>Both steps in the approved plan are complete. What would you like to do next?</w:t>
      </w:r>
    </w:p>
    <w:p>
      <w:pPr>
        <w:spacing w:before="60" w:after="160"/>
        <w:ind w:left="288" w:right="288"/>
        <w:shd w:fill="FAFAFA" w:color="auto" w:val="clear"/>
      </w:pPr>
      <w:r>
        <w:rPr>
          <w:rFonts w:ascii="Calibri" w:hAnsi="Calibri"/>
          <w:i/>
          <w:color w:val="777777"/>
          <w:sz w:val="18"/>
        </w:rPr>
        <w:t>The orchestrator reports after each step so the user can review before proceeding. After all approved steps complete, it pauses and offers options — consistent with the Plan-then-Execute model throughout.</w:t>
      </w:r>
    </w:p>
    <w:p>
      <w:pPr>
        <w:spacing w:before="200" w:after="0"/>
        <w:shd w:fill="29B5E8" w:color="auto" w:val="clear"/>
      </w:pPr>
      <w:r>
        <w:rPr>
          <w:rFonts w:ascii="Calibri" w:hAnsi="Calibri"/>
          <w:b/>
          <w:color w:val="FFFFFF"/>
          <w:sz w:val="18"/>
        </w:rPr>
        <w:t xml:space="preserve">  USER</w:t>
      </w:r>
    </w:p>
    <w:p>
      <w:pPr>
        <w:spacing w:before="0" w:after="40"/>
        <w:ind w:left="216"/>
        <w:shd w:fill="E8F4FD" w:color="auto" w:val="clear"/>
      </w:pPr>
      <w:r>
        <w:rPr>
          <w:rFonts w:ascii="Calibri" w:hAnsi="Calibri"/>
          <w:i/>
          <w:sz w:val="20"/>
        </w:rPr>
        <w:t>"What can I do with this now?"</w:t>
      </w:r>
    </w:p>
    <w:p>
      <w:pPr>
        <w:spacing w:before="120" w:after="0"/>
        <w:shd w:fill="1B3A5C" w:color="auto" w:val="clear"/>
      </w:pPr>
      <w:r>
        <w:rPr>
          <w:rFonts w:ascii="Calibri" w:hAnsi="Calibri"/>
          <w:b/>
          <w:color w:val="FFFFFF"/>
          <w:sz w:val="18"/>
        </w:rPr>
        <w:t xml:space="preserve">  ORCHESTRATOR  —  Next steps</w:t>
      </w:r>
    </w:p>
    <w:p>
      <w:pPr>
        <w:spacing w:before="0" w:after="20"/>
        <w:ind w:left="216"/>
        <w:shd w:fill="F0F0F0" w:color="auto" w:val="clear"/>
      </w:pPr>
      <w:r>
        <w:rPr>
          <w:rFonts w:ascii="Calibri" w:hAnsi="Calibri"/>
          <w:b w:val="0"/>
          <w:sz w:val="20"/>
        </w:rPr>
        <w:t>From here, the natural next steps are:</w:t>
        <w:br/>
      </w:r>
    </w:p>
    <w:p>
      <w:pPr>
        <w:spacing w:before="0" w:after="20"/>
        <w:ind w:left="216"/>
        <w:shd w:fill="F0F0F0" w:color="auto" w:val="clear"/>
      </w:pPr>
      <w:r>
        <w:rPr>
          <w:rFonts w:ascii="Calibri" w:hAnsi="Calibri"/>
          <w:b w:val="0"/>
          <w:sz w:val="20"/>
        </w:rPr>
        <w:t>1. Conversational agent — build a Cortex Agent so analysts can query documents in natural language</w:t>
      </w:r>
    </w:p>
    <w:p>
      <w:pPr>
        <w:spacing w:before="0" w:after="20"/>
        <w:ind w:left="216"/>
        <w:shd w:fill="F0F0F0" w:color="auto" w:val="clear"/>
      </w:pPr>
      <w:r>
        <w:rPr>
          <w:rFonts w:ascii="Calibri" w:hAnsi="Calibri"/>
          <w:b w:val="0"/>
          <w:sz w:val="20"/>
        </w:rPr>
        <w:t>2. Document viewer — deploy a Streamlit interface for browsing, annotating, and reviewing documents</w:t>
      </w:r>
    </w:p>
    <w:p>
      <w:pPr>
        <w:spacing w:before="0" w:after="20"/>
        <w:ind w:left="216"/>
        <w:shd w:fill="F0F0F0" w:color="auto" w:val="clear"/>
      </w:pPr>
      <w:r>
        <w:rPr>
          <w:rFonts w:ascii="Calibri" w:hAnsi="Calibri"/>
          <w:b w:val="0"/>
          <w:sz w:val="20"/>
        </w:rPr>
        <w:t>3. Governance layer — apply PHI masking policies, row-access controls, and audit trails to the extracted tables</w:t>
      </w:r>
    </w:p>
    <w:p>
      <w:pPr>
        <w:spacing w:before="0" w:after="20"/>
        <w:ind w:left="216"/>
        <w:shd w:fill="F0F0F0" w:color="auto" w:val="clear"/>
      </w:pPr>
      <w:r>
        <w:rPr>
          <w:rFonts w:ascii="Calibri" w:hAnsi="Calibri"/>
          <w:b w:val="0"/>
          <w:sz w:val="20"/>
        </w:rPr>
        <w:t>4. Downstream analytics — run analytics on the extracted entities (diagnosis trends, medication frequency, length-of-stay patterns)</w:t>
      </w:r>
    </w:p>
    <w:p>
      <w:pPr>
        <w:spacing w:before="0" w:after="20"/>
        <w:ind w:left="216"/>
        <w:shd w:fill="F0F0F0" w:color="auto" w:val="clear"/>
      </w:pPr>
      <w:r>
        <w:rPr>
          <w:rFonts w:ascii="Calibri" w:hAnsi="Calibri"/>
          <w:b w:val="0"/>
          <w:sz w:val="20"/>
        </w:rPr>
        <w:br/>
        <w:t>Which would you like to explore?</w:t>
      </w:r>
    </w:p>
    <w:p>
      <w:pPr>
        <w:spacing w:before="60" w:after="160"/>
        <w:ind w:left="288" w:right="288"/>
        <w:shd w:fill="FAFAFA" w:color="auto" w:val="clear"/>
      </w:pPr>
      <w:r>
        <w:rPr>
          <w:rFonts w:ascii="Calibri" w:hAnsi="Calibri"/>
          <w:i/>
          <w:color w:val="777777"/>
          <w:sz w:val="18"/>
        </w:rPr>
        <w:t>The orchestrator does not automatically proceed to new capabilities. It presents options and waits — a new Plan-then-Execute cycle begins when the user selects a next step.</w:t>
      </w:r>
    </w:p>
    <w:p>
      <w:pPr>
        <w:spacing w:before="160" w:after="0"/>
      </w:pPr>
    </w:p>
    <w:p>
      <w:pPr>
        <w:spacing w:before="120" w:after="120"/>
        <w:ind w:left="288" w:right="288"/>
        <w:shd w:fill="EBF5FF" w:color="auto" w:val="clear"/>
      </w:pPr>
      <w:r>
        <w:rPr>
          <w:rFonts w:ascii="Calibri" w:hAnsi="Calibri"/>
          <w:i/>
          <w:sz w:val="20"/>
        </w:rPr>
        <w:t>This transcript illustrates the consistent interaction pattern regardless of the healthcare domain. The same flow — describe the business problem, review the plan, approve, confirm gates, execute, choose next steps — applies whether you are working with imaging data, genomics pipelines, claims analysis, or drug safety workflows. The industry skills give Cortex Code the domain knowledge it needs; you stay in control of every decision point.</w:t>
      </w:r>
    </w:p>
    <w:p>
      <w:r>
        <w:br w:type="page"/>
      </w:r>
    </w:p>
    <w:p>
      <w:pPr>
        <w:spacing w:before="280" w:after="80"/>
      </w:pPr>
      <w:r>
        <w:rPr>
          <w:rFonts w:ascii="Calibri" w:hAnsi="Calibri"/>
          <w:b/>
          <w:color w:val="1B3A5C"/>
          <w:sz w:val="34"/>
        </w:rPr>
        <w:t>Section 6 — Troubleshooting</w:t>
      </w:r>
    </w:p>
    <w:p>
      <w:pPr>
        <w:spacing w:before="40" w:after="100"/>
      </w:pPr>
      <w:r>
        <w:rPr>
          <w:rFonts w:ascii="Calibri" w:hAnsi="Calibri"/>
          <w:b w:val="0"/>
          <w:i w:val="0"/>
          <w:sz w:val="22"/>
        </w:rPr>
        <w:t>Common symptoms, causes, and fixes at the framework level.</w:t>
      </w:r>
    </w:p>
    <w:p>
      <w:pPr>
        <w:spacing w:before="120" w:after="0"/>
      </w:pPr>
    </w:p>
    <w:tbl>
      <w:tblPr>
        <w:tblStyle w:val="TableGrid"/>
        <w:tblW w:type="auto" w:w="0"/>
        <w:tblLook w:firstColumn="1" w:firstRow="1" w:lastColumn="0" w:lastRow="0" w:noHBand="0" w:noVBand="1" w:val="04A0"/>
      </w:tblPr>
      <w:tblGrid>
        <w:gridCol w:w="2928"/>
        <w:gridCol w:w="2928"/>
        <w:gridCol w:w="2928"/>
      </w:tblGrid>
      <w:tr>
        <w:tc>
          <w:tcPr>
            <w:tcW w:type="dxa" w:w="3024"/>
            <w:shd w:fill="29B5E8" w:color="auto" w:val="clear"/>
          </w:tcPr>
          <w:p>
            <w:r/>
            <w:r>
              <w:rPr>
                <w:rFonts w:ascii="Calibri" w:hAnsi="Calibri"/>
                <w:b/>
                <w:color w:val="FFFFFF"/>
                <w:sz w:val="20"/>
              </w:rPr>
              <w:t>Symptom</w:t>
            </w:r>
          </w:p>
        </w:tc>
        <w:tc>
          <w:tcPr>
            <w:tcW w:type="dxa" w:w="3168"/>
            <w:shd w:fill="29B5E8" w:color="auto" w:val="clear"/>
          </w:tcPr>
          <w:p>
            <w:r/>
            <w:r>
              <w:rPr>
                <w:rFonts w:ascii="Calibri" w:hAnsi="Calibri"/>
                <w:b/>
                <w:color w:val="FFFFFF"/>
                <w:sz w:val="20"/>
              </w:rPr>
              <w:t>Likely cause</w:t>
            </w:r>
          </w:p>
        </w:tc>
        <w:tc>
          <w:tcPr>
            <w:tcW w:type="dxa" w:w="4608"/>
            <w:shd w:fill="29B5E8" w:color="auto" w:val="clear"/>
          </w:tcPr>
          <w:p>
            <w:r/>
            <w:r>
              <w:rPr>
                <w:rFonts w:ascii="Calibri" w:hAnsi="Calibri"/>
                <w:b/>
                <w:color w:val="FFFFFF"/>
                <w:sz w:val="20"/>
              </w:rPr>
              <w:t>Fix</w:t>
            </w:r>
          </w:p>
        </w:tc>
      </w:tr>
      <w:tr>
        <w:tc>
          <w:tcPr>
            <w:tcW w:type="dxa" w:w="3024"/>
            <w:shd w:fill="FFFFFF" w:color="auto" w:val="clear"/>
          </w:tcPr>
          <w:p>
            <w:r/>
            <w:r>
              <w:rPr>
                <w:rFonts w:ascii="Calibri" w:hAnsi="Calibri"/>
                <w:sz w:val="20"/>
              </w:rPr>
              <w:t>Skills not found / orchestrator does not recognise the domain</w:t>
            </w:r>
          </w:p>
        </w:tc>
        <w:tc>
          <w:tcPr>
            <w:tcW w:type="dxa" w:w="3168"/>
            <w:shd w:fill="FFFFFF" w:color="auto" w:val="clear"/>
          </w:tcPr>
          <w:p>
            <w:r/>
            <w:r>
              <w:rPr>
                <w:rFonts w:ascii="Calibri" w:hAnsi="Calibri"/>
                <w:sz w:val="20"/>
              </w:rPr>
              <w:t>Profile not active or not synced after a repo update</w:t>
            </w:r>
          </w:p>
        </w:tc>
        <w:tc>
          <w:tcPr>
            <w:tcW w:type="dxa" w:w="4608"/>
            <w:shd w:fill="FFFFFF" w:color="auto" w:val="clear"/>
          </w:tcPr>
          <w:p>
            <w:r/>
            <w:r>
              <w:rPr>
                <w:rFonts w:ascii="Calibri" w:hAnsi="Calibri"/>
                <w:sz w:val="20"/>
              </w:rPr>
              <w:t>Run: cortex --profile health-sciences-incubator</w:t>
              <w:br/>
              <w:t>Then: cortex profile sync health-sciences-incubator</w:t>
            </w:r>
          </w:p>
        </w:tc>
      </w:tr>
      <w:tr>
        <w:tc>
          <w:tcPr>
            <w:tcW w:type="dxa" w:w="3024"/>
            <w:shd w:fill="F2F2F2" w:color="auto" w:val="clear"/>
          </w:tcPr>
          <w:p>
            <w:r/>
            <w:r>
              <w:rPr>
                <w:rFonts w:ascii="Calibri" w:hAnsi="Calibri"/>
                <w:sz w:val="20"/>
              </w:rPr>
              <w:t>Knowledge source shows as MISSING</w:t>
            </w:r>
          </w:p>
        </w:tc>
        <w:tc>
          <w:tcPr>
            <w:tcW w:type="dxa" w:w="3168"/>
            <w:shd w:fill="F2F2F2" w:color="auto" w:val="clear"/>
          </w:tcPr>
          <w:p>
            <w:r/>
            <w:r>
              <w:rPr>
                <w:rFonts w:ascii="Calibri" w:hAnsi="Calibri"/>
                <w:sz w:val="20"/>
              </w:rPr>
              <w:t>Optional domain knowledge listing not installed from Snowflake Marketplace</w:t>
            </w:r>
          </w:p>
        </w:tc>
        <w:tc>
          <w:tcPr>
            <w:tcW w:type="dxa" w:w="4608"/>
            <w:shd w:fill="F2F2F2" w:color="auto" w:val="clear"/>
          </w:tcPr>
          <w:p>
            <w:r/>
            <w:r>
              <w:rPr>
                <w:rFonts w:ascii="Calibri" w:hAnsi="Calibri"/>
                <w:sz w:val="20"/>
              </w:rPr>
              <w:t>The skill continues without it. Install the Marketplace listing to enable evidence enrichment.</w:t>
            </w:r>
          </w:p>
        </w:tc>
      </w:tr>
      <w:tr>
        <w:tc>
          <w:tcPr>
            <w:tcW w:type="dxa" w:w="3024"/>
            <w:shd w:fill="FFFFFF" w:color="auto" w:val="clear"/>
          </w:tcPr>
          <w:p>
            <w:r/>
            <w:r>
              <w:rPr>
                <w:rFonts w:ascii="Calibri" w:hAnsi="Calibri"/>
                <w:sz w:val="20"/>
              </w:rPr>
              <w:t>Confirmation gates keep re-asking for information already provided</w:t>
            </w:r>
          </w:p>
        </w:tc>
        <w:tc>
          <w:tcPr>
            <w:tcW w:type="dxa" w:w="3168"/>
            <w:shd w:fill="FFFFFF" w:color="auto" w:val="clear"/>
          </w:tcPr>
          <w:p>
            <w:r/>
            <w:r>
              <w:rPr>
                <w:rFonts w:ascii="Calibri" w:hAnsi="Calibri"/>
                <w:sz w:val="20"/>
              </w:rPr>
              <w:t>Each gate is structurally enforced and cannot read prior conversation context</w:t>
            </w:r>
          </w:p>
        </w:tc>
        <w:tc>
          <w:tcPr>
            <w:tcW w:type="dxa" w:w="4608"/>
            <w:shd w:fill="FFFFFF" w:color="auto" w:val="clear"/>
          </w:tcPr>
          <w:p>
            <w:r/>
            <w:r>
              <w:rPr>
                <w:rFonts w:ascii="Calibri" w:hAnsi="Calibri"/>
                <w:sz w:val="20"/>
              </w:rPr>
              <w:t>Confirm each gate individually. This is by design for PHI-bearing workflows — it is not a bug.</w:t>
            </w:r>
          </w:p>
        </w:tc>
      </w:tr>
      <w:tr>
        <w:tc>
          <w:tcPr>
            <w:tcW w:type="dxa" w:w="3024"/>
            <w:shd w:fill="F2F2F2" w:color="auto" w:val="clear"/>
          </w:tcPr>
          <w:p>
            <w:r/>
            <w:r>
              <w:rPr>
                <w:rFonts w:ascii="Calibri" w:hAnsi="Calibri"/>
                <w:sz w:val="20"/>
              </w:rPr>
              <w:t>Orchestrator routed to the wrong domain capability</w:t>
            </w:r>
          </w:p>
        </w:tc>
        <w:tc>
          <w:tcPr>
            <w:tcW w:type="dxa" w:w="3168"/>
            <w:shd w:fill="F2F2F2" w:color="auto" w:val="clear"/>
          </w:tcPr>
          <w:p>
            <w:r/>
            <w:r>
              <w:rPr>
                <w:rFonts w:ascii="Calibri" w:hAnsi="Calibri"/>
                <w:sz w:val="20"/>
              </w:rPr>
              <w:t>Request lacked enough domain-specific context</w:t>
            </w:r>
          </w:p>
        </w:tc>
        <w:tc>
          <w:tcPr>
            <w:tcW w:type="dxa" w:w="4608"/>
            <w:shd w:fill="F2F2F2" w:color="auto" w:val="clear"/>
          </w:tcPr>
          <w:p>
            <w:r/>
            <w:r>
              <w:rPr>
                <w:rFonts w:ascii="Calibri" w:hAnsi="Calibri"/>
                <w:sz w:val="20"/>
              </w:rPr>
              <w:t>Add domain keywords: the data type, clinical standard, or specific outcome you need (e.g., 'FHIR', 'DICOM', 'survival analysis', 'adverse event').</w:t>
            </w:r>
          </w:p>
        </w:tc>
      </w:tr>
      <w:tr>
        <w:tc>
          <w:tcPr>
            <w:tcW w:type="dxa" w:w="3024"/>
            <w:shd w:fill="FFFFFF" w:color="auto" w:val="clear"/>
          </w:tcPr>
          <w:p>
            <w:r/>
            <w:r>
              <w:rPr>
                <w:rFonts w:ascii="Calibri" w:hAnsi="Calibri"/>
                <w:sz w:val="20"/>
              </w:rPr>
              <w:t>DDL or data change ran without confirmation</w:t>
            </w:r>
          </w:p>
        </w:tc>
        <w:tc>
          <w:tcPr>
            <w:tcW w:type="dxa" w:w="3168"/>
            <w:shd w:fill="FFFFFF" w:color="auto" w:val="clear"/>
          </w:tcPr>
          <w:p>
            <w:r/>
            <w:r>
              <w:rPr>
                <w:rFonts w:ascii="Calibri" w:hAnsi="Calibri"/>
                <w:sz w:val="20"/>
              </w:rPr>
              <w:t>Execution hooks not active in the project</w:t>
            </w:r>
          </w:p>
        </w:tc>
        <w:tc>
          <w:tcPr>
            <w:tcW w:type="dxa" w:w="4608"/>
            <w:shd w:fill="FFFFFF" w:color="auto" w:val="clear"/>
          </w:tcPr>
          <w:p>
            <w:r/>
            <w:r>
              <w:rPr>
                <w:rFonts w:ascii="Calibri" w:hAnsi="Calibri"/>
                <w:sz w:val="20"/>
              </w:rPr>
              <w:t>Add hooks.json to the project root. See the repo for a reference file.</w:t>
            </w:r>
          </w:p>
        </w:tc>
      </w:tr>
      <w:tr>
        <w:tc>
          <w:tcPr>
            <w:tcW w:type="dxa" w:w="3024"/>
            <w:shd w:fill="F2F2F2" w:color="auto" w:val="clear"/>
          </w:tcPr>
          <w:p>
            <w:r/>
            <w:r>
              <w:rPr>
                <w:rFonts w:ascii="Calibri" w:hAnsi="Calibri"/>
                <w:sz w:val="20"/>
              </w:rPr>
              <w:t>Plan table did not appear — skill ran immediately</w:t>
            </w:r>
          </w:p>
        </w:tc>
        <w:tc>
          <w:tcPr>
            <w:tcW w:type="dxa" w:w="3168"/>
            <w:shd w:fill="F2F2F2" w:color="auto" w:val="clear"/>
          </w:tcPr>
          <w:p>
            <w:r/>
            <w:r>
              <w:rPr>
                <w:rFonts w:ascii="Calibri" w:hAnsi="Calibri"/>
                <w:sz w:val="20"/>
              </w:rPr>
              <w:t>Request was interpreted as informational (no execution needed)</w:t>
            </w:r>
          </w:p>
        </w:tc>
        <w:tc>
          <w:tcPr>
            <w:tcW w:type="dxa" w:w="4608"/>
            <w:shd w:fill="F2F2F2" w:color="auto" w:val="clear"/>
          </w:tcPr>
          <w:p>
            <w:r/>
            <w:r>
              <w:rPr>
                <w:rFonts w:ascii="Calibri" w:hAnsi="Calibri"/>
                <w:sz w:val="20"/>
              </w:rPr>
              <w:t>Rephrase to make execution intent clear: use words like 'build', 'create', 'load', 'extract', 'run'.</w:t>
            </w:r>
          </w:p>
        </w:tc>
      </w:tr>
      <w:tr>
        <w:tc>
          <w:tcPr>
            <w:tcW w:type="dxa" w:w="3024"/>
            <w:shd w:fill="FFFFFF" w:color="auto" w:val="clear"/>
          </w:tcPr>
          <w:p>
            <w:r/>
            <w:r>
              <w:rPr>
                <w:rFonts w:ascii="Calibri" w:hAnsi="Calibri"/>
                <w:sz w:val="20"/>
              </w:rPr>
              <w:t>Profile not found on launch</w:t>
            </w:r>
          </w:p>
        </w:tc>
        <w:tc>
          <w:tcPr>
            <w:tcW w:type="dxa" w:w="3168"/>
            <w:shd w:fill="FFFFFF" w:color="auto" w:val="clear"/>
          </w:tcPr>
          <w:p>
            <w:r/>
            <w:r>
              <w:rPr>
                <w:rFonts w:ascii="Calibri" w:hAnsi="Calibri"/>
                <w:sz w:val="20"/>
              </w:rPr>
              <w:t>Profile JSON file missing at expected path</w:t>
            </w:r>
          </w:p>
        </w:tc>
        <w:tc>
          <w:tcPr>
            <w:tcW w:type="dxa" w:w="4608"/>
            <w:shd w:fill="FFFFFF" w:color="auto" w:val="clear"/>
          </w:tcPr>
          <w:p>
            <w:r/>
            <w:r>
              <w:rPr>
                <w:rFonts w:ascii="Calibri" w:hAnsi="Calibri"/>
                <w:sz w:val="20"/>
              </w:rPr>
              <w:t>Follow Section 2.2 to create:</w:t>
              <w:br/>
              <w:t>~/.snowflake/cortex/profiles/health-sciences-incubator.json</w:t>
            </w:r>
          </w:p>
        </w:tc>
      </w:tr>
    </w:tbl>
    <w:p>
      <w:pPr>
        <w:spacing w:before="80" w:after="0"/>
      </w:pPr>
    </w:p>
    <w:p>
      <w:pPr>
        <w:spacing w:before="120" w:after="0"/>
      </w:pPr>
    </w:p>
    <w:p>
      <w:pPr>
        <w:spacing w:before="120" w:after="120"/>
        <w:ind w:left="288" w:right="288"/>
        <w:shd w:fill="EBF5FF" w:color="auto" w:val="clear"/>
      </w:pPr>
      <w:r>
        <w:rPr>
          <w:rFonts w:ascii="Calibri" w:hAnsi="Calibri"/>
          <w:i/>
          <w:sz w:val="20"/>
        </w:rPr>
        <w:t>For issues not listed here, refer to README.md in the GitHub repo (Snowflake-Solutions/health-sciences-coco-skills-incubator) for the full troubleshooting section.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