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20260211-Monetization Domain-Subscriptions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360" w:before="360" w:lineRule="auto"/>
        <w:rPr>
          <w:b w:val="1"/>
          <w:bCs w:val="1"/>
          <w:color w:val="131619"/>
          <w:sz w:val="36"/>
          <w:szCs w:val="36"/>
        </w:rPr>
      </w:pPr>
      <w:r w:rsidDel="00000000" w:rsidR="00000000" w:rsidRPr="00000000">
        <w:rPr>
          <w:b w:val="1"/>
          <w:bCs w:val="1"/>
          <w:color w:val="131619"/>
          <w:sz w:val="36"/>
          <w:szCs w:val="36"/>
          <w:rtl w:val="0"/>
        </w:rPr>
        <w:t xml:space="preserve">Meeting assets for Snowflake PS - Data Pipeline Migration Scoping Discussion - Monetization - Subscription data transformation are ready!</w:t>
      </w:r>
    </w:p>
    <w:p w:rsidR="00000000" w:rsidDel="00000000" w:rsidP="00000000" w:rsidRDefault="00000000" w:rsidRPr="00000000" w14:paraId="00000005">
      <w:pPr>
        <w:shd w:fill="ffffff" w:val="clear"/>
        <w:spacing w:after="360" w:before="3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6">
      <w:pPr>
        <w:pStyle w:val="Heading2"/>
        <w:keepNext w:val="0"/>
        <w:keepLines w:val="0"/>
        <w:shd w:fill="ffffff" w:val="clear"/>
        <w:spacing w:after="80" w:line="360" w:lineRule="auto"/>
        <w:rPr>
          <w:b w:val="1"/>
          <w:bCs w:val="1"/>
          <w:color w:val="131619"/>
          <w:sz w:val="24"/>
          <w:szCs w:val="24"/>
        </w:rPr>
      </w:pPr>
      <w:bookmarkStart w:colFirst="0" w:colLast="0" w:name="_2pjqhg3ngwdy"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7">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meeting focused on discussing the migration and redesign of DBT models for the subscription and monetization domains. Aiden and Mazen explored the current state of the models, including the number of end-user tables and upstream dependencies. They estimated that around 250 DBT models would need to be analyzed and potentially redesigned, with a significant portion being complex models. The discussion covered the need for historical data backfill, the potential reduction in the number of models through analysis, and the current usage patterns of the red tables. They also touched on the semantic layer requirements and the need to review upstream dependencies across domains.</w:t>
      </w:r>
    </w:p>
    <w:p w:rsidR="00000000" w:rsidDel="00000000" w:rsidP="00000000" w:rsidRDefault="00000000" w:rsidRPr="00000000" w14:paraId="00000008">
      <w:pPr>
        <w:pStyle w:val="Heading2"/>
        <w:keepNext w:val="0"/>
        <w:keepLines w:val="0"/>
        <w:shd w:fill="ffffff" w:val="clear"/>
        <w:spacing w:after="80" w:line="360" w:lineRule="auto"/>
        <w:rPr>
          <w:b w:val="1"/>
          <w:bCs w:val="1"/>
          <w:color w:val="131619"/>
          <w:sz w:val="24"/>
          <w:szCs w:val="24"/>
        </w:rPr>
      </w:pPr>
      <w:bookmarkStart w:colFirst="0" w:colLast="0" w:name="_t8kr6mwi6g3s"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9">
      <w:pPr>
        <w:numPr>
          <w:ilvl w:val="0"/>
          <w:numId w:val="1"/>
        </w:numPr>
        <w:shd w:fill="ffffff" w:val="clear"/>
        <w:spacing w:after="0" w:afterAutospacing="0" w:before="220" w:lineRule="auto"/>
        <w:ind w:left="940" w:hanging="360"/>
      </w:pPr>
      <w:r w:rsidDel="00000000" w:rsidR="00000000" w:rsidRPr="00000000">
        <w:rPr>
          <w:color w:val="131619"/>
          <w:sz w:val="21"/>
          <w:szCs w:val="21"/>
          <w:rtl w:val="0"/>
        </w:rPr>
        <w:t xml:space="preserve">Aiden: Fetch and provide the exact numbers of total upstream models and total number of models in use for the subscriptions domain to Mazen.</w:t>
      </w:r>
    </w:p>
    <w:p w:rsidR="00000000" w:rsidDel="00000000" w:rsidP="00000000" w:rsidRDefault="00000000" w:rsidRPr="00000000" w14:paraId="0000000A">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Aiden: Double check and share if there are any red tables (end user tables) that have not been accessed in the past 90 days, to help identify potentially unused tables.</w:t>
      </w:r>
    </w:p>
    <w:p w:rsidR="00000000" w:rsidDel="00000000" w:rsidP="00000000" w:rsidRDefault="00000000" w:rsidRPr="00000000" w14:paraId="0000000B">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After the meeting, attempt to query and check access/reference history for specific low-volume tables shared by Aiden to further assess usage.</w:t>
      </w:r>
    </w:p>
    <w:p w:rsidR="00000000" w:rsidDel="00000000" w:rsidP="00000000" w:rsidRDefault="00000000" w:rsidRPr="00000000" w14:paraId="0000000C">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Aiden: Share (even in plain English) the list of key metrics and dimensions that the semantic layer should answer, to inform the expected number of semantic views.</w:t>
      </w:r>
    </w:p>
    <w:p w:rsidR="00000000" w:rsidDel="00000000" w:rsidP="00000000" w:rsidRDefault="00000000" w:rsidRPr="00000000" w14:paraId="0000000D">
      <w:pPr>
        <w:numPr>
          <w:ilvl w:val="0"/>
          <w:numId w:val="1"/>
        </w:numPr>
        <w:shd w:fill="ffffff" w:val="clear"/>
        <w:spacing w:after="220" w:before="0" w:beforeAutospacing="0" w:lineRule="auto"/>
        <w:ind w:left="940" w:hanging="360"/>
      </w:pPr>
      <w:r w:rsidDel="00000000" w:rsidR="00000000" w:rsidRPr="00000000">
        <w:rPr>
          <w:color w:val="131619"/>
          <w:sz w:val="21"/>
          <w:szCs w:val="21"/>
          <w:rtl w:val="0"/>
        </w:rPr>
        <w:t xml:space="preserve">Mazen: Update the estimate calculations once Aiden provides the confirmed number of models.</w:t>
      </w:r>
    </w:p>
    <w:p w:rsidR="00000000" w:rsidDel="00000000" w:rsidP="00000000" w:rsidRDefault="00000000" w:rsidRPr="00000000" w14:paraId="0000000E">
      <w:pPr>
        <w:pStyle w:val="Heading2"/>
        <w:keepNext w:val="0"/>
        <w:keepLines w:val="0"/>
        <w:shd w:fill="ffffff" w:val="clear"/>
        <w:spacing w:after="80" w:line="360" w:lineRule="auto"/>
        <w:rPr>
          <w:b w:val="1"/>
          <w:bCs w:val="1"/>
          <w:color w:val="131619"/>
          <w:sz w:val="24"/>
          <w:szCs w:val="24"/>
        </w:rPr>
      </w:pPr>
      <w:bookmarkStart w:colFirst="0" w:colLast="0" w:name="_qaskqh7elmz3" w:id="2"/>
      <w:bookmarkEnd w:id="2"/>
      <w:r w:rsidDel="00000000" w:rsidR="00000000" w:rsidRPr="00000000">
        <w:rPr>
          <w:b w:val="1"/>
          <w:bCs w:val="1"/>
          <w:color w:val="131619"/>
          <w:sz w:val="24"/>
          <w:szCs w:val="24"/>
          <w:rtl w:val="0"/>
        </w:rPr>
        <w:t xml:space="preserve">Summary</w:t>
      </w:r>
    </w:p>
    <w:p w:rsidR="00000000" w:rsidDel="00000000" w:rsidP="00000000" w:rsidRDefault="00000000" w:rsidRPr="00000000" w14:paraId="0000000F">
      <w:pPr>
        <w:pStyle w:val="Heading3"/>
        <w:keepNext w:val="0"/>
        <w:keepLines w:val="0"/>
        <w:shd w:fill="ffffff" w:val="clear"/>
        <w:spacing w:before="280" w:line="342.85714285714283" w:lineRule="auto"/>
        <w:rPr>
          <w:b w:val="1"/>
          <w:bCs w:val="1"/>
          <w:color w:val="131619"/>
          <w:sz w:val="21"/>
          <w:szCs w:val="21"/>
        </w:rPr>
      </w:pPr>
      <w:bookmarkStart w:colFirst="0" w:colLast="0" w:name="_aw4y3qugvz8l" w:id="3"/>
      <w:bookmarkEnd w:id="3"/>
      <w:r w:rsidDel="00000000" w:rsidR="00000000" w:rsidRPr="00000000">
        <w:rPr>
          <w:b w:val="1"/>
          <w:bCs w:val="1"/>
          <w:color w:val="131619"/>
          <w:sz w:val="21"/>
          <w:szCs w:val="21"/>
          <w:rtl w:val="0"/>
        </w:rPr>
        <w:t xml:space="preserve">DBT Model Migration Complexity Assessment</w:t>
      </w:r>
    </w:p>
    <w:p w:rsidR="00000000" w:rsidDel="00000000" w:rsidP="00000000" w:rsidRDefault="00000000" w:rsidRPr="00000000" w14:paraId="00000010">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Aiden and Mazen discussed the analysis and migration of DBT models, focusing on the number of end-user tables and models. They estimated around 30 end-user tables and potentially hundreds of DBT models, with a breakdown of complexity: 70% simple, 20-30% medium, and 20-30% complex. Mazen highlighted the significant effort required for analysis and migration, suggesting it could take up to a year, and proposed exploring alternative analysis methods to reduce the workload. They agreed to further assess the complexity distribution and consider options for efficient migration.</w:t>
      </w:r>
    </w:p>
    <w:p w:rsidR="00000000" w:rsidDel="00000000" w:rsidP="00000000" w:rsidRDefault="00000000" w:rsidRPr="00000000" w14:paraId="00000011">
      <w:pPr>
        <w:pStyle w:val="Heading3"/>
        <w:keepNext w:val="0"/>
        <w:keepLines w:val="0"/>
        <w:shd w:fill="ffffff" w:val="clear"/>
        <w:spacing w:before="280" w:line="342.85714285714283" w:lineRule="auto"/>
        <w:rPr>
          <w:b w:val="1"/>
          <w:bCs w:val="1"/>
          <w:color w:val="131619"/>
          <w:sz w:val="21"/>
          <w:szCs w:val="21"/>
        </w:rPr>
      </w:pPr>
      <w:bookmarkStart w:colFirst="0" w:colLast="0" w:name="_g1t9cbgcg6m3" w:id="4"/>
      <w:bookmarkEnd w:id="4"/>
      <w:r w:rsidDel="00000000" w:rsidR="00000000" w:rsidRPr="00000000">
        <w:rPr>
          <w:b w:val="1"/>
          <w:bCs w:val="1"/>
          <w:color w:val="131619"/>
          <w:sz w:val="21"/>
          <w:szCs w:val="21"/>
          <w:rtl w:val="0"/>
        </w:rPr>
        <w:t xml:space="preserve">Airflow Orchestration and Dependency Review</w:t>
      </w:r>
    </w:p>
    <w:p w:rsidR="00000000" w:rsidDel="00000000" w:rsidP="00000000" w:rsidRDefault="00000000" w:rsidRPr="00000000" w14:paraId="00000012">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Aiden confirmed that Airflow will be used for orchestration, similar to the rest of the monetization process. He identified several upstream dependencies, including Foundation, billing, profile, analytics events, user signups, CTA attribution, and resource usage. Mazen noted that while these dependencies exist, they may not need to be migrated as objects, as they can be sourced directly from their original domains. They discussed the need to analyze and potentially revise these dependencies, with Aiden suggesting that some data can be sourced directly from other domains rather than through shared models. Mazen emphasized the importance of documenting these dependencies and proposed reviewing the current models to ensure they meet expectations before building the new structure.</w:t>
      </w:r>
    </w:p>
    <w:p w:rsidR="00000000" w:rsidDel="00000000" w:rsidP="00000000" w:rsidRDefault="00000000" w:rsidRPr="00000000" w14:paraId="00000013">
      <w:pPr>
        <w:pStyle w:val="Heading3"/>
        <w:keepNext w:val="0"/>
        <w:keepLines w:val="0"/>
        <w:shd w:fill="ffffff" w:val="clear"/>
        <w:spacing w:before="280" w:line="342.85714285714283" w:lineRule="auto"/>
        <w:rPr>
          <w:b w:val="1"/>
          <w:bCs w:val="1"/>
          <w:color w:val="131619"/>
          <w:sz w:val="21"/>
          <w:szCs w:val="21"/>
        </w:rPr>
      </w:pPr>
      <w:bookmarkStart w:colFirst="0" w:colLast="0" w:name="_os841omgg1sv" w:id="5"/>
      <w:bookmarkEnd w:id="5"/>
      <w:r w:rsidDel="00000000" w:rsidR="00000000" w:rsidRPr="00000000">
        <w:rPr>
          <w:b w:val="1"/>
          <w:bCs w:val="1"/>
          <w:color w:val="131619"/>
          <w:sz w:val="21"/>
          <w:szCs w:val="21"/>
          <w:rtl w:val="0"/>
        </w:rPr>
        <w:t xml:space="preserve">Data Access and Subscription Planning</w:t>
      </w:r>
    </w:p>
    <w:p w:rsidR="00000000" w:rsidDel="00000000" w:rsidP="00000000" w:rsidRDefault="00000000" w:rsidRPr="00000000" w14:paraId="0000001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Aiden discussed the current state of data access and potential changes to subscription and billing information in the next 6-12 months. They agreed that data migration from old tables to new structures would not be necessary since historical data is available to rebuild. Aiden mentioned that Kai has set up layers for monetization, but no subscription models have been built yet. Mazen emphasized the importance of analyzing all 300 DBT models to ensure a proper target state is achieved, which will be a time-consuming task. Aiden agreed to provide the exact number of models in use to help with estimates.</w:t>
      </w:r>
    </w:p>
    <w:p w:rsidR="00000000" w:rsidDel="00000000" w:rsidP="00000000" w:rsidRDefault="00000000" w:rsidRPr="00000000" w14:paraId="00000015">
      <w:pPr>
        <w:pStyle w:val="Heading3"/>
        <w:keepNext w:val="0"/>
        <w:keepLines w:val="0"/>
        <w:shd w:fill="ffffff" w:val="clear"/>
        <w:spacing w:before="280" w:line="342.85714285714283" w:lineRule="auto"/>
        <w:rPr>
          <w:b w:val="1"/>
          <w:bCs w:val="1"/>
          <w:color w:val="131619"/>
          <w:sz w:val="21"/>
          <w:szCs w:val="21"/>
        </w:rPr>
      </w:pPr>
      <w:bookmarkStart w:colFirst="0" w:colLast="0" w:name="_uuxhdmex9qo6" w:id="6"/>
      <w:bookmarkEnd w:id="6"/>
      <w:r w:rsidDel="00000000" w:rsidR="00000000" w:rsidRPr="00000000">
        <w:rPr>
          <w:b w:val="1"/>
          <w:bCs w:val="1"/>
          <w:color w:val="131619"/>
          <w:sz w:val="21"/>
          <w:szCs w:val="21"/>
          <w:rtl w:val="0"/>
        </w:rPr>
        <w:t xml:space="preserve">Semantic Views for Business Questions</w:t>
      </w:r>
    </w:p>
    <w:p w:rsidR="00000000" w:rsidDel="00000000" w:rsidP="00000000" w:rsidRDefault="00000000" w:rsidRPr="00000000" w14:paraId="0000001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Aiden discussed the potential number of semantic views needed to answer business questions. Aiden shared a list of key metrics and dimensions, including revenue, conversion rates, and subscription lifecycle data. Mazen estimated that around 50 questions could be answered by approximately 5-7 semantic views. They agreed that while the number of questions wasn't directly tied to the number of semantic views, this rough estimate could help guide the development of the semantic layer.</w:t>
      </w:r>
    </w:p>
    <w:p w:rsidR="00000000" w:rsidDel="00000000" w:rsidP="00000000" w:rsidRDefault="00000000" w:rsidRPr="00000000" w14:paraId="00000017">
      <w:pPr>
        <w:pStyle w:val="Heading3"/>
        <w:keepNext w:val="0"/>
        <w:keepLines w:val="0"/>
        <w:shd w:fill="ffffff" w:val="clear"/>
        <w:spacing w:before="280" w:line="342.85714285714283" w:lineRule="auto"/>
        <w:rPr>
          <w:b w:val="1"/>
          <w:bCs w:val="1"/>
          <w:color w:val="131619"/>
          <w:sz w:val="21"/>
          <w:szCs w:val="21"/>
        </w:rPr>
      </w:pPr>
      <w:bookmarkStart w:colFirst="0" w:colLast="0" w:name="_f0ptppd4nopz" w:id="7"/>
      <w:bookmarkEnd w:id="7"/>
      <w:r w:rsidDel="00000000" w:rsidR="00000000" w:rsidRPr="00000000">
        <w:rPr>
          <w:b w:val="1"/>
          <w:bCs w:val="1"/>
          <w:color w:val="131619"/>
          <w:sz w:val="21"/>
          <w:szCs w:val="21"/>
          <w:rtl w:val="0"/>
        </w:rPr>
        <w:t xml:space="preserve">DBT Model Complexity Assessment</w:t>
      </w:r>
    </w:p>
    <w:p w:rsidR="00000000" w:rsidDel="00000000" w:rsidP="00000000" w:rsidRDefault="00000000" w:rsidRPr="00000000" w14:paraId="00000018">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Aiden discussed the current state of Aiden's DBT models, which number over 300 due to years of incremental changes and multiple team contributions. They explored the complexity of the models, including upstream dependencies and the challenge of maintaining and modifying existing models rather than creating new ones. Aiden mentioned that while some red tables are frequently used, many have not been accessed in the past 90 days, with only the top 35 models accounting for 70% of queries.</w:t>
      </w:r>
    </w:p>
    <w:p w:rsidR="00000000" w:rsidDel="00000000" w:rsidP="00000000" w:rsidRDefault="00000000" w:rsidRPr="00000000" w14:paraId="00000019">
      <w:pPr>
        <w:pStyle w:val="Heading3"/>
        <w:keepNext w:val="0"/>
        <w:keepLines w:val="0"/>
        <w:shd w:fill="ffffff" w:val="clear"/>
        <w:spacing w:before="280" w:line="342.85714285714283" w:lineRule="auto"/>
        <w:rPr>
          <w:b w:val="1"/>
          <w:bCs w:val="1"/>
          <w:color w:val="131619"/>
          <w:sz w:val="21"/>
          <w:szCs w:val="21"/>
        </w:rPr>
      </w:pPr>
      <w:bookmarkStart w:colFirst="0" w:colLast="0" w:name="_xgpntm40thts" w:id="8"/>
      <w:bookmarkEnd w:id="8"/>
      <w:r w:rsidDel="00000000" w:rsidR="00000000" w:rsidRPr="00000000">
        <w:rPr>
          <w:b w:val="1"/>
          <w:bCs w:val="1"/>
          <w:color w:val="131619"/>
          <w:sz w:val="21"/>
          <w:szCs w:val="21"/>
          <w:rtl w:val="0"/>
        </w:rPr>
        <w:t xml:space="preserve">Database Table Analysis Insights</w:t>
      </w:r>
    </w:p>
    <w:p w:rsidR="00000000" w:rsidDel="00000000" w:rsidP="00000000" w:rsidRDefault="00000000" w:rsidRPr="00000000" w14:paraId="0000001A">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Aiden discussed the analysis of database tables and their query volumes. They identified that many tables have a large number of upstream models, with one table having 162 upstream models, leading to an estimated total of around 250 upstream models. They agreed to use this figure in their calculations, acknowledging that it would impact the overall numbers significantly. Mazen emphasized the importance of this exercise in understanding the scale of the issue and the challenges in refactoring or migrating the database.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