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4e748c9a8f8d562ab8b4bba23924561ca30f5c3"/>
    <w:p>
      <w:pPr>
        <w:pStyle w:val="Heading1"/>
      </w:pPr>
      <w:r>
        <w:t xml:space="preserve">Cursor Enablement: Deploy Demo Scenarios to Your Salesforce Org</w:t>
      </w:r>
    </w:p>
    <w:p>
      <w:pPr>
        <w:pStyle w:val="FirstParagraph"/>
      </w:pPr>
      <w:r>
        <w:t xml:space="preserve">This guide walks</w:t>
      </w:r>
      <w:r>
        <w:t xml:space="preserve"> </w:t>
      </w:r>
      <w:r>
        <w:rPr>
          <w:b/>
          <w:bCs/>
        </w:rPr>
        <w:t xml:space="preserve">brand-new Cursor users</w:t>
      </w:r>
      <w:r>
        <w:t xml:space="preserve"> </w:t>
      </w:r>
      <w:r>
        <w:t xml:space="preserve">through using</w:t>
      </w:r>
      <w:r>
        <w:t xml:space="preserve"> </w:t>
      </w:r>
      <w:r>
        <w:rPr>
          <w:b/>
          <w:bCs/>
        </w:rPr>
        <w:t xml:space="preserve">Demo Resources</w:t>
      </w:r>
      <w:r>
        <w:t xml:space="preserve"> </w:t>
      </w:r>
      <w:r>
        <w:t xml:space="preserve">scenarios to build complete Salesforce solutions with Cursor and deploy them to your org. No prior Cursor or AI-assisted development experience required.</w:t>
      </w:r>
    </w:p>
    <w:p>
      <w:r>
        <w:pict>
          <v:rect style="width:0;height:1.5pt" o:hralign="center" o:hrstd="t" o:hr="t"/>
        </w:pict>
      </w:r>
    </w:p>
    <w:bookmarkStart w:id="9" w:name="what-youll-learn"/>
    <w:p>
      <w:pPr>
        <w:pStyle w:val="Heading2"/>
      </w:pPr>
      <w:r>
        <w:t xml:space="preserve">What You’ll Learn</w:t>
      </w:r>
    </w:p>
    <w:p>
      <w:pPr>
        <w:pStyle w:val="Compact"/>
        <w:numPr>
          <w:ilvl w:val="0"/>
          <w:numId w:val="1001"/>
        </w:numPr>
      </w:pPr>
      <w:r>
        <w:t xml:space="preserve">How</w:t>
      </w:r>
      <w:r>
        <w:t xml:space="preserve"> </w:t>
      </w:r>
      <w:r>
        <w:rPr>
          <w:b/>
          <w:bCs/>
        </w:rPr>
        <w:t xml:space="preserve">Cursor</w:t>
      </w:r>
      <w:r>
        <w:t xml:space="preserve"> </w:t>
      </w:r>
      <w:r>
        <w:t xml:space="preserve">(AI-powered IDE) and</w:t>
      </w:r>
      <w:r>
        <w:t xml:space="preserve"> </w:t>
      </w:r>
      <w:r>
        <w:rPr>
          <w:b/>
          <w:bCs/>
        </w:rPr>
        <w:t xml:space="preserve">Cursor Agent</w:t>
      </w:r>
      <w:r>
        <w:t xml:space="preserve"> </w:t>
      </w:r>
      <w:r>
        <w:t xml:space="preserve">work with Salesforce projects</w:t>
      </w:r>
    </w:p>
    <w:p>
      <w:pPr>
        <w:pStyle w:val="Compact"/>
        <w:numPr>
          <w:ilvl w:val="0"/>
          <w:numId w:val="1001"/>
        </w:numPr>
      </w:pPr>
      <w:r>
        <w:t xml:space="preserve">How to run</w:t>
      </w:r>
      <w:r>
        <w:t xml:space="preserve"> </w:t>
      </w:r>
      <w:r>
        <w:rPr>
          <w:b/>
          <w:bCs/>
        </w:rPr>
        <w:t xml:space="preserve">Step 00</w:t>
      </w:r>
      <w:r>
        <w:t xml:space="preserve"> </w:t>
      </w:r>
      <w:r>
        <w:t xml:space="preserve">in the terminal to create an SFDX project and connect your org</w:t>
      </w:r>
    </w:p>
    <w:p>
      <w:pPr>
        <w:pStyle w:val="Compact"/>
        <w:numPr>
          <w:ilvl w:val="0"/>
          <w:numId w:val="1001"/>
        </w:numPr>
      </w:pPr>
      <w:r>
        <w:t xml:space="preserve">How to run</w:t>
      </w:r>
      <w:r>
        <w:t xml:space="preserve"> </w:t>
      </w:r>
      <w:r>
        <w:rPr>
          <w:b/>
          <w:bCs/>
        </w:rPr>
        <w:t xml:space="preserve">Steps 01–07</w:t>
      </w:r>
      <w:r>
        <w:t xml:space="preserve"> </w:t>
      </w:r>
      <w:r>
        <w:t xml:space="preserve">in Cursor Agent so the AI generates objects, data, flows, LWCs, and deployment steps for you (Step 07 — push to GitHub — is</w:t>
      </w:r>
      <w:r>
        <w:t xml:space="preserve"> </w:t>
      </w:r>
      <w:r>
        <w:rPr>
          <w:b/>
          <w:bCs/>
        </w:rPr>
        <w:t xml:space="preserve">optional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End-to-end flow: pick a scenario → scaffold project → open in Cursor → paste prompts → deploy to Salesforce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X476064156bc17aeea7df8e53847ef5b2c09f1b7">
        <w:r>
          <w:rPr>
            <w:rStyle w:val="Hyperlink"/>
          </w:rPr>
          <w:t xml:space="preserve">What is Cursor and why use it for Salesforce demos?</w:t>
        </w:r>
      </w:hyperlink>
    </w:p>
    <w:p>
      <w:pPr>
        <w:pStyle w:val="Compact"/>
        <w:numPr>
          <w:ilvl w:val="0"/>
          <w:numId w:val="1002"/>
        </w:numPr>
      </w:pPr>
      <w:hyperlink w:anchor="X90e929d3c876b514d121d9601670ecca39e7803">
        <w:r>
          <w:rPr>
            <w:rStyle w:val="Hyperlink"/>
          </w:rPr>
          <w:t xml:space="preserve">Prerequisites</w:t>
        </w:r>
      </w:hyperlink>
    </w:p>
    <w:p>
      <w:pPr>
        <w:pStyle w:val="Compact"/>
        <w:numPr>
          <w:ilvl w:val="0"/>
          <w:numId w:val="1002"/>
        </w:numPr>
      </w:pPr>
      <w:hyperlink w:anchor="Xad7cc07add8824dbe58e5635771f0db03b32d25">
        <w:r>
          <w:rPr>
            <w:rStyle w:val="Hyperlink"/>
          </w:rPr>
          <w:t xml:space="preserve">One-time setup</w:t>
        </w:r>
      </w:hyperlink>
    </w:p>
    <w:p>
      <w:pPr>
        <w:pStyle w:val="Compact"/>
        <w:numPr>
          <w:ilvl w:val="0"/>
          <w:numId w:val="1002"/>
        </w:numPr>
      </w:pPr>
      <w:hyperlink w:anchor="X58f8bc51a3a8441448245b498e8231015192cb1">
        <w:r>
          <w:rPr>
            <w:rStyle w:val="Hyperlink"/>
          </w:rPr>
          <w:t xml:space="preserve">Pick a scenario and run Step 00</w:t>
        </w:r>
      </w:hyperlink>
    </w:p>
    <w:p>
      <w:pPr>
        <w:pStyle w:val="Compact"/>
        <w:numPr>
          <w:ilvl w:val="0"/>
          <w:numId w:val="1002"/>
        </w:numPr>
      </w:pPr>
      <w:hyperlink w:anchor="X89169f336e6aea2ff7c0e7781b7e4147f72cb37">
        <w:r>
          <w:rPr>
            <w:rStyle w:val="Hyperlink"/>
          </w:rPr>
          <w:t xml:space="preserve">Open the project in Cursor</w:t>
        </w:r>
      </w:hyperlink>
    </w:p>
    <w:p>
      <w:pPr>
        <w:pStyle w:val="Compact"/>
        <w:numPr>
          <w:ilvl w:val="0"/>
          <w:numId w:val="1002"/>
        </w:numPr>
      </w:pPr>
      <w:hyperlink w:anchor="Xaadc7688d09e93fdde844e9e4886b8e83e51276">
        <w:r>
          <w:rPr>
            <w:rStyle w:val="Hyperlink"/>
          </w:rPr>
          <w:t xml:space="preserve">Run Steps 01–07 in Cursor Agent</w:t>
        </w:r>
      </w:hyperlink>
    </w:p>
    <w:p>
      <w:pPr>
        <w:pStyle w:val="Compact"/>
        <w:numPr>
          <w:ilvl w:val="0"/>
          <w:numId w:val="1002"/>
        </w:numPr>
      </w:pPr>
      <w:hyperlink w:anchor="Xb533834d006d96cb1a438b12c928a3b4985fa6b">
        <w:r>
          <w:rPr>
            <w:rStyle w:val="Hyperlink"/>
          </w:rPr>
          <w:t xml:space="preserve">Verify in Salesforce</w:t>
        </w:r>
      </w:hyperlink>
    </w:p>
    <w:p>
      <w:pPr>
        <w:pStyle w:val="Compact"/>
        <w:numPr>
          <w:ilvl w:val="0"/>
          <w:numId w:val="1002"/>
        </w:numPr>
      </w:pPr>
      <w:hyperlink w:anchor="X0f59d69c4be347af3cf8ecfb5d273e71b5b4a23">
        <w:r>
          <w:rPr>
            <w:rStyle w:val="Hyperlink"/>
          </w:rPr>
          <w:t xml:space="preserve">Quick reference</w:t>
        </w:r>
      </w:hyperlink>
    </w:p>
    <w:p>
      <w:pPr>
        <w:pStyle w:val="Compact"/>
        <w:numPr>
          <w:ilvl w:val="0"/>
          <w:numId w:val="1002"/>
        </w:numPr>
      </w:pPr>
      <w:hyperlink w:anchor="X604d32d4245089c058c4a17a722c369f414c972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Xf577f1362c0a30aab038c2521d94a9a4c9b9603"/>
    <w:p>
      <w:pPr>
        <w:pStyle w:val="Heading2"/>
      </w:pPr>
      <w:r>
        <w:t xml:space="preserve">1. What is Cursor and why use it for Salesforce demos?</w:t>
      </w:r>
    </w:p>
    <w:p>
      <w:pPr>
        <w:pStyle w:val="FirstParagraph"/>
      </w:pPr>
      <w:r>
        <w:rPr>
          <w:b/>
          <w:bCs/>
        </w:rPr>
        <w:t xml:space="preserve">Cursor</w:t>
      </w:r>
      <w:r>
        <w:t xml:space="preserve"> </w:t>
      </w:r>
      <w:r>
        <w:t xml:space="preserve">is a code editor (based on VS Code) that uses AI to help you write and modify code. For Demo Resources scenarios:</w:t>
      </w:r>
    </w:p>
    <w:p>
      <w:pPr>
        <w:pStyle w:val="Compact"/>
        <w:numPr>
          <w:ilvl w:val="0"/>
          <w:numId w:val="1003"/>
        </w:numPr>
      </w:pPr>
      <w:r>
        <w:t xml:space="preserve">You</w:t>
      </w:r>
      <w:r>
        <w:t xml:space="preserve"> </w:t>
      </w:r>
      <w:r>
        <w:rPr>
          <w:b/>
          <w:bCs/>
        </w:rPr>
        <w:t xml:space="preserve">paste a prompt</w:t>
      </w:r>
      <w:r>
        <w:t xml:space="preserve"> </w:t>
      </w:r>
      <w:r>
        <w:t xml:space="preserve">(e.g. “Create four custom objects…”) into</w:t>
      </w:r>
      <w:r>
        <w:t xml:space="preserve"> </w:t>
      </w:r>
      <w:r>
        <w:rPr>
          <w:b/>
          <w:bCs/>
        </w:rPr>
        <w:t xml:space="preserve">Cursor Agent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Agent</w:t>
      </w:r>
      <w:r>
        <w:t xml:space="preserve"> </w:t>
      </w:r>
      <w:r>
        <w:rPr>
          <w:b/>
          <w:bCs/>
        </w:rPr>
        <w:t xml:space="preserve">generates</w:t>
      </w:r>
      <w:r>
        <w:t xml:space="preserve"> </w:t>
      </w:r>
      <w:r>
        <w:t xml:space="preserve">the right metadata (objects, fields, flows, LWCs, etc.) in your project.</w:t>
      </w:r>
    </w:p>
    <w:p>
      <w:pPr>
        <w:pStyle w:val="Compact"/>
        <w:numPr>
          <w:ilvl w:val="0"/>
          <w:numId w:val="1003"/>
        </w:numPr>
      </w:pPr>
      <w:r>
        <w:t xml:space="preserve">You</w:t>
      </w:r>
      <w:r>
        <w:t xml:space="preserve"> </w:t>
      </w:r>
      <w:r>
        <w:rPr>
          <w:b/>
          <w:bCs/>
        </w:rPr>
        <w:t xml:space="preserve">deploy</w:t>
      </w:r>
      <w:r>
        <w:t xml:space="preserve"> </w:t>
      </w:r>
      <w:r>
        <w:t xml:space="preserve">that metadata to your Salesforce org using Salesforce CLI (</w:t>
      </w:r>
      <w:r>
        <w:rPr>
          <w:rStyle w:val="VerbatimChar"/>
        </w:rPr>
        <w:t xml:space="preserve">sf</w:t>
      </w:r>
      <w:r>
        <w:t xml:space="preserve">).</w:t>
      </w:r>
    </w:p>
    <w:p>
      <w:pPr>
        <w:pStyle w:val="FirstParagraph"/>
      </w:pPr>
      <w:r>
        <w:t xml:space="preserve">So you’re not hand-building every object and flow—you’re guiding the AI with the scenario prompts and then deploying what it creates. That’s ideal for building demo-ready Salesforce apps quickly and learning how Cursor + Salesforce fit together.</w:t>
      </w:r>
    </w:p>
    <w:p>
      <w:r>
        <w:pict>
          <v:rect style="width:0;height:1.5pt" o:hralign="center" o:hrstd="t" o:hr="t"/>
        </w:pict>
      </w:r>
    </w:p>
    <w:bookmarkEnd w:id="11"/>
    <w:bookmarkStart w:id="15" w:name="prerequisites"/>
    <w:p>
      <w:pPr>
        <w:pStyle w:val="Heading2"/>
      </w:pPr>
      <w:r>
        <w:t xml:space="preserve">2. Prerequisites</w:t>
      </w:r>
    </w:p>
    <w:p>
      <w:pPr>
        <w:pStyle w:val="FirstParagraph"/>
      </w:pPr>
      <w:r>
        <w:t xml:space="preserve">Before starting, have these in place: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50"/>
        <w:gridCol w:w="43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What you need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Cursor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Cursor</w:t>
              </w:r>
            </w:hyperlink>
            <w:r>
              <w:t xml:space="preserve"> </w:t>
            </w:r>
            <w:r>
              <w:t xml:space="preserve">installed on your machine. Sign up or sign in as needed.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Salesforce CLI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Salesforce CLI (</w:t>
              </w:r>
              <w:r>
                <w:rPr>
                  <w:rStyle w:val="VerbatimChar"/>
                </w:rPr>
                <w:t xml:space="preserve">sf</w:t>
              </w:r>
              <w:r>
                <w:rPr>
                  <w:rStyle w:val="Hyperlink"/>
                </w:rPr>
                <w:t xml:space="preserve">)</w:t>
              </w:r>
            </w:hyperlink>
            <w:r>
              <w:t xml:space="preserve"> </w:t>
            </w:r>
            <w:r>
              <w:t xml:space="preserve">installed. We use</w:t>
            </w:r>
            <w:r>
              <w:t xml:space="preserve"> </w:t>
            </w:r>
            <w:r>
              <w:rPr>
                <w:rStyle w:val="VerbatimChar"/>
              </w:rPr>
              <w:t xml:space="preserve">sf</w:t>
            </w:r>
            <w:r>
              <w:t xml:space="preserve"> </w:t>
            </w:r>
            <w:r>
              <w:t xml:space="preserve">(v2), not the legacy</w:t>
            </w:r>
            <w:r>
              <w:t xml:space="preserve"> </w:t>
            </w:r>
            <w:r>
              <w:rPr>
                <w:rStyle w:val="VerbatimChar"/>
              </w:rPr>
              <w:t xml:space="preserve">sfdx</w:t>
            </w:r>
            <w:r>
              <w:t xml:space="preserve"> </w:t>
            </w:r>
            <w:r>
              <w:t xml:space="preserve">wrapper.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Salesforce org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scratch org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sandbox</w:t>
            </w:r>
            <w:r>
              <w:t xml:space="preserve"> </w:t>
            </w:r>
            <w:r>
              <w:t xml:space="preserve">to deploy to. Demo Resources are for demos/learning—do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use production.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Terminal</w:t>
            </w:r>
          </w:p>
        </w:tc>
        <w:tc>
          <w:tcPr/>
          <w:p>
            <w:pPr>
              <w:pStyle w:val="Compact"/>
            </w:pPr>
            <w:r>
              <w:t xml:space="preserve">Your OS terminal (macOS Terminal, Windows Terminal, etc.) for running CLI commands.</w:t>
            </w:r>
          </w:p>
        </w:tc>
      </w:tr>
    </w:tbl>
    <w:bookmarkStart w:id="14" w:name="check-your-setup"/>
    <w:p>
      <w:pPr>
        <w:pStyle w:val="Heading3"/>
      </w:pPr>
      <w:r>
        <w:t xml:space="preserve">Check your setup</w:t>
      </w:r>
    </w:p>
    <w:p>
      <w:pPr>
        <w:pStyle w:val="SourceCode"/>
      </w:pPr>
      <w:r>
        <w:rPr>
          <w:rStyle w:val="CommentTok"/>
        </w:rPr>
        <w:t xml:space="preserve"># Should show a version (e.g. 2.x)</w:t>
      </w:r>
      <w:r>
        <w:br/>
      </w:r>
      <w:r>
        <w:rPr>
          <w:rStyle w:val="ExtensionTok"/>
        </w:rPr>
        <w:t xml:space="preserve">sf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Should list any orgs you’ve already authenticated</w:t>
      </w:r>
      <w:r>
        <w:br/>
      </w:r>
      <w:r>
        <w:rPr>
          <w:rStyle w:val="ExtensionTok"/>
        </w:rPr>
        <w:t xml:space="preserve">sf</w:t>
      </w:r>
      <w:r>
        <w:rPr>
          <w:rStyle w:val="NormalTok"/>
        </w:rPr>
        <w:t xml:space="preserve"> org list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sf</w:t>
      </w:r>
      <w:r>
        <w:t xml:space="preserve"> </w:t>
      </w:r>
      <w:r>
        <w:t xml:space="preserve">isn’t found, install Salesforce CLI from the link above, then run the commands again.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one-time-setup"/>
    <w:p>
      <w:pPr>
        <w:pStyle w:val="Heading2"/>
      </w:pPr>
      <w:r>
        <w:t xml:space="preserve">3. One-time setup</w:t>
      </w:r>
    </w:p>
    <w:bookmarkStart w:id="16" w:name="install-and-sign-in-to-cursor"/>
    <w:p>
      <w:pPr>
        <w:pStyle w:val="Heading3"/>
      </w:pPr>
      <w:r>
        <w:t xml:space="preserve">3.1 Install and sign in to Cursor</w:t>
      </w:r>
    </w:p>
    <w:p>
      <w:pPr>
        <w:pStyle w:val="Compact"/>
        <w:numPr>
          <w:ilvl w:val="0"/>
          <w:numId w:val="1004"/>
        </w:numPr>
      </w:pPr>
      <w:r>
        <w:t xml:space="preserve">Download Cursor from</w:t>
      </w:r>
      <w:r>
        <w:t xml:space="preserve"> </w:t>
      </w:r>
      <w:hyperlink r:id="rId12">
        <w:r>
          <w:rPr>
            <w:rStyle w:val="Hyperlink"/>
          </w:rPr>
          <w:t xml:space="preserve">cursor.com</w:t>
        </w:r>
      </w:hyperlink>
      <w:r>
        <w:t xml:space="preserve"> </w:t>
      </w:r>
      <w:r>
        <w:t xml:space="preserve">and install it.</w:t>
      </w:r>
    </w:p>
    <w:p>
      <w:pPr>
        <w:pStyle w:val="Compact"/>
        <w:numPr>
          <w:ilvl w:val="0"/>
          <w:numId w:val="1004"/>
        </w:numPr>
      </w:pPr>
      <w:r>
        <w:t xml:space="preserve">Open Cursor and sign in (or create an account).</w:t>
      </w:r>
    </w:p>
    <w:p>
      <w:pPr>
        <w:pStyle w:val="Compact"/>
        <w:numPr>
          <w:ilvl w:val="0"/>
          <w:numId w:val="1004"/>
        </w:numPr>
      </w:pPr>
      <w:r>
        <w:t xml:space="preserve">You can accept default settings for now. Cursor Agent is available once the app is open.</w:t>
      </w:r>
    </w:p>
    <w:bookmarkEnd w:id="16"/>
    <w:bookmarkStart w:id="17" w:name="authenticate-salesforce-cli-to-your-org"/>
    <w:p>
      <w:pPr>
        <w:pStyle w:val="Heading3"/>
      </w:pPr>
      <w:r>
        <w:t xml:space="preserve">3.2 Authenticate Salesforce CLI to your org</w:t>
      </w:r>
    </w:p>
    <w:p>
      <w:pPr>
        <w:pStyle w:val="FirstParagraph"/>
      </w:pPr>
      <w:r>
        <w:t xml:space="preserve">If you don’t have an org set up yet:</w:t>
      </w:r>
    </w:p>
    <w:p>
      <w:pPr>
        <w:pStyle w:val="BodyText"/>
      </w:pPr>
      <w:r>
        <w:rPr>
          <w:b/>
          <w:bCs/>
        </w:rPr>
        <w:t xml:space="preserve">Option A — Scratch org (recommended for demos)</w:t>
      </w:r>
    </w:p>
    <w:p>
      <w:pPr>
        <w:pStyle w:val="SourceCode"/>
      </w:pPr>
      <w:r>
        <w:rPr>
          <w:rStyle w:val="CommentTok"/>
        </w:rPr>
        <w:t xml:space="preserve"># Create a scratch org from your project’s config (after you’ve run Step 00 and have a project)</w:t>
      </w:r>
      <w:r>
        <w:br/>
      </w:r>
      <w:r>
        <w:rPr>
          <w:rStyle w:val="ExtensionTok"/>
        </w:rPr>
        <w:t xml:space="preserve">sf</w:t>
      </w:r>
      <w:r>
        <w:rPr>
          <w:rStyle w:val="NormalTok"/>
        </w:rPr>
        <w:t xml:space="preserve"> org create scratch </w:t>
      </w:r>
      <w:r>
        <w:rPr>
          <w:rStyle w:val="AttributeTok"/>
        </w:rPr>
        <w:t xml:space="preserve">--definition-file</w:t>
      </w:r>
      <w:r>
        <w:rPr>
          <w:rStyle w:val="NormalTok"/>
        </w:rPr>
        <w:t xml:space="preserve"> config/project-scratch-def.json </w:t>
      </w:r>
      <w:r>
        <w:rPr>
          <w:rStyle w:val="AttributeTok"/>
        </w:rPr>
        <w:t xml:space="preserve">--alias</w:t>
      </w:r>
      <w:r>
        <w:rPr>
          <w:rStyle w:val="NormalTok"/>
        </w:rPr>
        <w:t xml:space="preserve"> my-demo-org </w:t>
      </w:r>
      <w:r>
        <w:rPr>
          <w:rStyle w:val="AttributeTok"/>
        </w:rPr>
        <w:t xml:space="preserve">--set-default</w:t>
      </w:r>
    </w:p>
    <w:p>
      <w:pPr>
        <w:pStyle w:val="FirstParagraph"/>
      </w:pPr>
      <w:r>
        <w:rPr>
          <w:b/>
          <w:bCs/>
        </w:rPr>
        <w:t xml:space="preserve">Option B — Sandbox or dev org</w:t>
      </w:r>
    </w:p>
    <w:p>
      <w:pPr>
        <w:pStyle w:val="SourceCode"/>
      </w:pPr>
      <w:r>
        <w:rPr>
          <w:rStyle w:val="CommentTok"/>
        </w:rPr>
        <w:t xml:space="preserve"># Opens browser to log in; replace MySandbox with an alias you choose</w:t>
      </w:r>
      <w:r>
        <w:br/>
      </w:r>
      <w:r>
        <w:rPr>
          <w:rStyle w:val="ExtensionTok"/>
        </w:rPr>
        <w:t xml:space="preserve">sf</w:t>
      </w:r>
      <w:r>
        <w:rPr>
          <w:rStyle w:val="NormalTok"/>
        </w:rPr>
        <w:t xml:space="preserve"> org login web </w:t>
      </w:r>
      <w:r>
        <w:rPr>
          <w:rStyle w:val="AttributeTok"/>
        </w:rPr>
        <w:t xml:space="preserve">--alias</w:t>
      </w:r>
      <w:r>
        <w:rPr>
          <w:rStyle w:val="NormalTok"/>
        </w:rPr>
        <w:t xml:space="preserve"> MySandbox </w:t>
      </w:r>
      <w:r>
        <w:rPr>
          <w:rStyle w:val="AttributeTok"/>
        </w:rPr>
        <w:t xml:space="preserve">--instance-url</w:t>
      </w:r>
      <w:r>
        <w:rPr>
          <w:rStyle w:val="NormalTok"/>
        </w:rPr>
        <w:t xml:space="preserve"> https://test.salesforce.com</w:t>
      </w:r>
    </w:p>
    <w:p>
      <w:pPr>
        <w:pStyle w:val="FirstParagraph"/>
      </w:pPr>
      <w:r>
        <w:t xml:space="preserve">Then set the default org:</w:t>
      </w:r>
    </w:p>
    <w:p>
      <w:pPr>
        <w:pStyle w:val="SourceCode"/>
      </w:pPr>
      <w:r>
        <w:rPr>
          <w:rStyle w:val="ExtensionTok"/>
        </w:rPr>
        <w:t xml:space="preserve">sf</w:t>
      </w:r>
      <w:r>
        <w:rPr>
          <w:rStyle w:val="NormalTok"/>
        </w:rPr>
        <w:t xml:space="preserve"> config set target-org MySandbox</w:t>
      </w:r>
    </w:p>
    <w:p>
      <w:pPr>
        <w:pStyle w:val="FirstParagraph"/>
      </w:pPr>
      <w:r>
        <w:t xml:space="preserve">Confirm:</w:t>
      </w:r>
    </w:p>
    <w:p>
      <w:pPr>
        <w:pStyle w:val="SourceCode"/>
      </w:pPr>
      <w:r>
        <w:rPr>
          <w:rStyle w:val="ExtensionTok"/>
        </w:rPr>
        <w:t xml:space="preserve">sf</w:t>
      </w:r>
      <w:r>
        <w:rPr>
          <w:rStyle w:val="NormalTok"/>
        </w:rPr>
        <w:t xml:space="preserve"> org list</w:t>
      </w:r>
    </w:p>
    <w:p>
      <w:pPr>
        <w:pStyle w:val="FirstParagraph"/>
      </w:pPr>
      <w:r>
        <w:t xml:space="preserve">You should see your org with a checkmark or “(default)”.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pick-a-scenario-and-run-step-00"/>
    <w:p>
      <w:pPr>
        <w:pStyle w:val="Heading2"/>
      </w:pPr>
      <w:r>
        <w:t xml:space="preserve">4. Pick a scenario and run Step 00</w:t>
      </w:r>
    </w:p>
    <w:bookmarkStart w:id="22" w:name="choose-a-scenario"/>
    <w:p>
      <w:pPr>
        <w:pStyle w:val="Heading3"/>
      </w:pPr>
      <w:r>
        <w:t xml:space="preserve">4.1 Choose a scenario</w:t>
      </w:r>
    </w:p>
    <w:p>
      <w:pPr>
        <w:pStyle w:val="FirstParagraph"/>
      </w:pPr>
      <w:r>
        <w:t xml:space="preserve">All scenarios are in this repo (</w:t>
      </w:r>
      <w:r>
        <w:rPr>
          <w:b/>
          <w:bCs/>
        </w:rPr>
        <w:t xml:space="preserve">Demo Resources</w:t>
      </w:r>
      <w:r>
        <w:t xml:space="preserve">). Open the</w:t>
      </w:r>
      <w:r>
        <w:t xml:space="preserve"> </w:t>
      </w:r>
      <w:r>
        <w:rPr>
          <w:b/>
          <w:bCs/>
        </w:rPr>
        <w:t xml:space="preserve">Demo Scenarios</w:t>
      </w:r>
      <w:r>
        <w:t xml:space="preserve"> </w:t>
      </w:r>
      <w:r>
        <w:t xml:space="preserve">folder:</w:t>
      </w:r>
    </w:p>
    <w:p>
      <w:pPr>
        <w:pStyle w:val="BodyText"/>
      </w:pPr>
      <w:hyperlink r:id="rId19">
        <w:r>
          <w:rPr>
            <w:rStyle w:val="Hyperlink"/>
            <w:b/>
            <w:bCs/>
          </w:rPr>
          <w:t xml:space="preserve">Demo Resources → Demo Scenarios</w:t>
        </w:r>
      </w:hyperlink>
      <w:r>
        <w:t xml:space="preserve"> </w:t>
      </w:r>
      <w:r>
        <w:t xml:space="preserve">(or browse the</w:t>
      </w:r>
      <w:r>
        <w:t xml:space="preserve"> </w:t>
      </w:r>
      <w:r>
        <w:rPr>
          <w:rStyle w:val="VerbatimChar"/>
        </w:rPr>
        <w:t xml:space="preserve">Demo Scenarios</w:t>
      </w:r>
      <w:r>
        <w:t xml:space="preserve"> </w:t>
      </w:r>
      <w:r>
        <w:t xml:space="preserve">folder in this repo)</w:t>
      </w:r>
    </w:p>
    <w:p>
      <w:pPr>
        <w:pStyle w:val="BodyText"/>
      </w:pPr>
      <w:r>
        <w:t xml:space="preserve">In the main</w:t>
      </w:r>
      <w:r>
        <w:t xml:space="preserve"> </w:t>
      </w:r>
      <w:hyperlink r:id="rId20">
        <w:r>
          <w:rPr>
            <w:rStyle w:val="Hyperlink"/>
          </w:rPr>
          <w:t xml:space="preserve">Demo Scenarios README</w:t>
        </w:r>
      </w:hyperlink>
      <w:r>
        <w:t xml:space="preserve"> </w:t>
      </w:r>
      <w:r>
        <w:t xml:space="preserve">you’ll see a table of scenarios by industry (Energy, Biotechnology, Aviation, Agriculture, etc.). Each row links to a scenario folder that contains a</w:t>
      </w:r>
      <w:r>
        <w:t xml:space="preserve"> </w:t>
      </w:r>
      <w:r>
        <w:rPr>
          <w:b/>
          <w:bCs/>
        </w:rPr>
        <w:t xml:space="preserve">README.md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5"/>
        </w:numPr>
      </w:pPr>
      <w:r>
        <w:t xml:space="preserve">The Challenge / What we’re building</w:t>
      </w:r>
    </w:p>
    <w:p>
      <w:pPr>
        <w:pStyle w:val="Compact"/>
        <w:numPr>
          <w:ilvl w:val="0"/>
          <w:numId w:val="1005"/>
        </w:numPr>
      </w:pPr>
      <w:r>
        <w:t xml:space="preserve">Custom objects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Step 00</w:t>
      </w:r>
      <w:r>
        <w:t xml:space="preserve"> </w:t>
      </w:r>
      <w:r>
        <w:t xml:space="preserve">(terminal commands)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Steps 01–07</w:t>
      </w:r>
      <w:r>
        <w:t xml:space="preserve"> </w:t>
      </w:r>
      <w:r>
        <w:t xml:space="preserve">(prompts to paste into Cursor Agent;</w:t>
      </w:r>
      <w:r>
        <w:t xml:space="preserve"> </w:t>
      </w:r>
      <w:r>
        <w:rPr>
          <w:b/>
          <w:bCs/>
        </w:rPr>
        <w:t xml:space="preserve">Step 07 is optional</w:t>
      </w:r>
      <w:r>
        <w:t xml:space="preserve"> </w:t>
      </w:r>
      <w:r>
        <w:t xml:space="preserve">— push to GitHub)</w:t>
      </w:r>
    </w:p>
    <w:p>
      <w:pPr>
        <w:pStyle w:val="FirstParagraph"/>
      </w:pPr>
      <w:r>
        <w:t xml:space="preserve">For your first time, a</w:t>
      </w:r>
      <w:r>
        <w:t xml:space="preserve"> </w:t>
      </w:r>
      <w:r>
        <w:rPr>
          <w:b/>
          <w:bCs/>
        </w:rPr>
        <w:t xml:space="preserve">Beginner</w:t>
      </w:r>
      <w:r>
        <w:t xml:space="preserve"> </w:t>
      </w:r>
      <w:r>
        <w:t xml:space="preserve">scenario is easiest, e.g.:</w:t>
      </w:r>
    </w:p>
    <w:p>
      <w:pPr>
        <w:pStyle w:val="Compact"/>
        <w:numPr>
          <w:ilvl w:val="0"/>
          <w:numId w:val="1006"/>
        </w:numPr>
      </w:pPr>
      <w:hyperlink r:id="rId21">
        <w:r>
          <w:rPr>
            <w:rStyle w:val="Hyperlink"/>
            <w:b/>
            <w:bCs/>
          </w:rPr>
          <w:t xml:space="preserve">PawPrint Rescue Network</w:t>
        </w:r>
      </w:hyperlink>
      <w:r>
        <w:t xml:space="preserve"> </w:t>
      </w:r>
      <w:r>
        <w:t xml:space="preserve">— Animal rescue (Nonprofit &amp; Rescue, ~35 min)</w:t>
      </w:r>
    </w:p>
    <w:p>
      <w:pPr>
        <w:pStyle w:val="FirstParagraph"/>
      </w:pPr>
      <w:r>
        <w:t xml:space="preserve">Open that scenario’s README and keep it open in a browser or in Cursor—you’ll copy from it in the next sections.</w:t>
      </w:r>
    </w:p>
    <w:bookmarkEnd w:id="22"/>
    <w:bookmarkStart w:id="23" w:name="run-step-00-in-your-terminal"/>
    <w:p>
      <w:pPr>
        <w:pStyle w:val="Heading3"/>
      </w:pPr>
      <w:r>
        <w:t xml:space="preserve">4.2 Run Step 00 in your terminal</w:t>
      </w:r>
    </w:p>
    <w:p>
      <w:pPr>
        <w:pStyle w:val="FirstParagraph"/>
      </w:pPr>
      <w:r>
        <w:rPr>
          <w:b/>
          <w:bCs/>
        </w:rPr>
        <w:t xml:space="preserve">Step 00</w:t>
      </w:r>
      <w:r>
        <w:t xml:space="preserve"> </w:t>
      </w:r>
      <w:r>
        <w:t xml:space="preserve">creates a new SFDX project and sets the target org. The exact commands are in each scenario’s README; the pattern looks like this (example for PawPrint):</w:t>
      </w:r>
    </w:p>
    <w:p>
      <w:pPr>
        <w:pStyle w:val="SourceCode"/>
      </w:pPr>
      <w:r>
        <w:rPr>
          <w:rStyle w:val="CommentTok"/>
        </w:rPr>
        <w:t xml:space="preserve"># Replace 'pawprint-rescue' and project name with the scenario’s Step 00 if different</w:t>
      </w:r>
      <w:r>
        <w:br/>
      </w:r>
      <w:r>
        <w:rPr>
          <w:rStyle w:val="ExtensionTok"/>
        </w:rPr>
        <w:t xml:space="preserve">sf</w:t>
      </w:r>
      <w:r>
        <w:rPr>
          <w:rStyle w:val="NormalTok"/>
        </w:rPr>
        <w:t xml:space="preserve"> project generate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pawprint-rescue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pawprint-rescue</w:t>
      </w:r>
      <w:r>
        <w:br/>
      </w:r>
      <w:r>
        <w:rPr>
          <w:rStyle w:val="ExtensionTok"/>
        </w:rPr>
        <w:t xml:space="preserve">sf</w:t>
      </w:r>
      <w:r>
        <w:rPr>
          <w:rStyle w:val="NormalTok"/>
        </w:rPr>
        <w:t xml:space="preserve"> org list</w:t>
      </w:r>
      <w:r>
        <w:br/>
      </w:r>
      <w:r>
        <w:rPr>
          <w:rStyle w:val="ExtensionTok"/>
        </w:rPr>
        <w:t xml:space="preserve">sf</w:t>
      </w:r>
      <w:r>
        <w:rPr>
          <w:rStyle w:val="NormalTok"/>
        </w:rPr>
        <w:t xml:space="preserve"> config set target-org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your-org-alias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Do this:</w:t>
      </w:r>
    </w:p>
    <w:p>
      <w:pPr>
        <w:pStyle w:val="Compact"/>
        <w:numPr>
          <w:ilvl w:val="0"/>
          <w:numId w:val="1007"/>
        </w:numPr>
      </w:pPr>
      <w:r>
        <w:t xml:space="preserve">Open your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(not Cursor yet).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cd</w:t>
      </w:r>
      <w:r>
        <w:t xml:space="preserve"> </w:t>
      </w:r>
      <w:r>
        <w:t xml:space="preserve">to the folder where you want the project (e.g. </w:t>
      </w:r>
      <w:r>
        <w:rPr>
          <w:rStyle w:val="VerbatimChar"/>
        </w:rPr>
        <w:t xml:space="preserve">Documents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 Lab</w:t>
      </w:r>
      <w:r>
        <w:t xml:space="preserve">, etc.).</w:t>
      </w:r>
    </w:p>
    <w:p>
      <w:pPr>
        <w:pStyle w:val="Compact"/>
        <w:numPr>
          <w:ilvl w:val="0"/>
          <w:numId w:val="1007"/>
        </w:numPr>
      </w:pPr>
      <w:r>
        <w:t xml:space="preserve">Copy</w:t>
      </w:r>
      <w:r>
        <w:t xml:space="preserve"> </w:t>
      </w:r>
      <w:r>
        <w:rPr>
          <w:b/>
          <w:bCs/>
        </w:rPr>
        <w:t xml:space="preserve">Step 00</w:t>
      </w:r>
      <w:r>
        <w:t xml:space="preserve"> </w:t>
      </w:r>
      <w:r>
        <w:t xml:space="preserve">from the scenario README and run it.</w:t>
      </w:r>
    </w:p>
    <w:p>
      <w:pPr>
        <w:pStyle w:val="Compact"/>
        <w:numPr>
          <w:ilvl w:val="0"/>
          <w:numId w:val="1007"/>
        </w:numPr>
      </w:pPr>
      <w:r>
        <w:t xml:space="preserve">When it says “open the</w:t>
      </w:r>
      <w:r>
        <w:t xml:space="preserve"> </w:t>
      </w:r>
      <w:r>
        <w:rPr>
          <w:rStyle w:val="VerbatimChar"/>
        </w:rPr>
        <w:t xml:space="preserve">&lt;project-name&gt;</w:t>
      </w:r>
      <w:r>
        <w:t xml:space="preserve"> </w:t>
      </w:r>
      <w:r>
        <w:t xml:space="preserve">folder in Cursor,” you’re ready for the next section.</w:t>
      </w:r>
    </w:p>
    <w:p>
      <w:pPr>
        <w:pStyle w:val="FirstParagraph"/>
      </w:pPr>
      <w:r>
        <w:t xml:space="preserve">Important: use the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project name and commands from the scenario you chose (e.g. Helion Forge uses a different project name than PawPrint). Each scenario’s README has its own</w:t>
      </w:r>
      <w:r>
        <w:t xml:space="preserve"> </w:t>
      </w:r>
      <w:r>
        <w:rPr>
          <w:b/>
          <w:bCs/>
        </w:rPr>
        <w:t xml:space="preserve">Step 00</w:t>
      </w:r>
      <w:r>
        <w:t xml:space="preserve"> </w:t>
      </w:r>
      <w:r>
        <w:t xml:space="preserve">block.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open-the-project-in-cursor"/>
    <w:p>
      <w:pPr>
        <w:pStyle w:val="Heading2"/>
      </w:pPr>
      <w:r>
        <w:t xml:space="preserve">5. Open the project in Cursor</w:t>
      </w:r>
    </w:p>
    <w:p>
      <w:pPr>
        <w:pStyle w:val="Compact"/>
        <w:numPr>
          <w:ilvl w:val="0"/>
          <w:numId w:val="1008"/>
        </w:numPr>
      </w:pPr>
      <w:r>
        <w:t xml:space="preserve">In Cursor:</w:t>
      </w:r>
      <w:r>
        <w:t xml:space="preserve"> </w:t>
      </w:r>
      <w:r>
        <w:rPr>
          <w:b/>
          <w:bCs/>
        </w:rPr>
        <w:t xml:space="preserve">File → Open Folder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Open…</w:t>
      </w:r>
      <w:r>
        <w:t xml:space="preserve"> </w:t>
      </w:r>
      <w:r>
        <w:t xml:space="preserve">on Mac).</w:t>
      </w:r>
    </w:p>
    <w:p>
      <w:pPr>
        <w:pStyle w:val="Compact"/>
        <w:numPr>
          <w:ilvl w:val="0"/>
          <w:numId w:val="1008"/>
        </w:numPr>
      </w:pPr>
      <w:r>
        <w:t xml:space="preserve">Select the</w:t>
      </w:r>
      <w:r>
        <w:t xml:space="preserve"> </w:t>
      </w:r>
      <w:r>
        <w:rPr>
          <w:b/>
          <w:bCs/>
        </w:rPr>
        <w:t xml:space="preserve">project folder</w:t>
      </w:r>
      <w:r>
        <w:t xml:space="preserve"> </w:t>
      </w:r>
      <w:r>
        <w:t xml:space="preserve">you just created (e.g. </w:t>
      </w:r>
      <w:r>
        <w:rPr>
          <w:rStyle w:val="VerbatimChar"/>
        </w:rPr>
        <w:t xml:space="preserve">pawprint-rescue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Confirm the left sidebar shows the project (e.g. </w:t>
      </w:r>
      <w:r>
        <w:rPr>
          <w:rStyle w:val="VerbatimChar"/>
        </w:rPr>
        <w:t xml:space="preserve">force-app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, etc.).</w:t>
      </w:r>
    </w:p>
    <w:p>
      <w:pPr>
        <w:pStyle w:val="FirstParagraph"/>
      </w:pPr>
      <w:r>
        <w:t xml:space="preserve">You’ll run all of Steps 01–07 inside this project so the Agent has the right context.</w:t>
      </w:r>
    </w:p>
    <w:p>
      <w:r>
        <w:pict>
          <v:rect style="width:0;height:1.5pt" o:hralign="center" o:hrstd="t" o:hr="t"/>
        </w:pict>
      </w:r>
    </w:p>
    <w:bookmarkEnd w:id="25"/>
    <w:bookmarkStart w:id="29" w:name="run-steps-0107-in-cursor-agent"/>
    <w:p>
      <w:pPr>
        <w:pStyle w:val="Heading2"/>
      </w:pPr>
      <w:r>
        <w:t xml:space="preserve">6. Run Steps 01–07 in Cursor Agent</w:t>
      </w:r>
    </w:p>
    <w:p>
      <w:pPr>
        <w:pStyle w:val="FirstParagraph"/>
      </w:pPr>
      <w:r>
        <w:t xml:space="preserve">Each scenario has</w:t>
      </w:r>
      <w:r>
        <w:t xml:space="preserve"> </w:t>
      </w:r>
      <w:r>
        <w:rPr>
          <w:b/>
          <w:bCs/>
        </w:rPr>
        <w:t xml:space="preserve">Steps 01–07</w:t>
      </w:r>
      <w:r>
        <w:t xml:space="preserve"> </w:t>
      </w:r>
      <w:r>
        <w:t xml:space="preserve">in its README. Each step is a</w:t>
      </w:r>
      <w:r>
        <w:t xml:space="preserve"> </w:t>
      </w:r>
      <w:r>
        <w:rPr>
          <w:b/>
          <w:bCs/>
        </w:rPr>
        <w:t xml:space="preserve">single prompt</w:t>
      </w:r>
      <w:r>
        <w:t xml:space="preserve"> </w:t>
      </w:r>
      <w:r>
        <w:t xml:space="preserve">you paste into</w:t>
      </w:r>
      <w:r>
        <w:t xml:space="preserve"> </w:t>
      </w:r>
      <w:r>
        <w:rPr>
          <w:b/>
          <w:bCs/>
        </w:rPr>
        <w:t xml:space="preserve">Cursor Agent</w:t>
      </w:r>
      <w:r>
        <w:t xml:space="preserve">. Run them</w:t>
      </w:r>
      <w:r>
        <w:t xml:space="preserve"> </w:t>
      </w:r>
      <w:r>
        <w:rPr>
          <w:b/>
          <w:bCs/>
        </w:rPr>
        <w:t xml:space="preserve">in order</w:t>
      </w:r>
      <w:r>
        <w:t xml:space="preserve">; later steps depend on earlier ones.</w:t>
      </w:r>
      <w:r>
        <w:t xml:space="preserve"> </w:t>
      </w:r>
      <w:r>
        <w:rPr>
          <w:b/>
          <w:bCs/>
        </w:rPr>
        <w:t xml:space="preserve">Step 07 (push to GitHub) is optional</w:t>
      </w:r>
      <w:r>
        <w:t xml:space="preserve"> </w:t>
      </w:r>
      <w:r>
        <w:t xml:space="preserve">— skip it if you don’t need to version-control or share your project on GitHub.</w:t>
      </w:r>
    </w:p>
    <w:bookmarkStart w:id="26" w:name="open-cursor-agent"/>
    <w:p>
      <w:pPr>
        <w:pStyle w:val="Heading3"/>
      </w:pPr>
      <w:r>
        <w:t xml:space="preserve">6.1 Open Cursor Agent</w:t>
      </w:r>
    </w:p>
    <w:p>
      <w:pPr>
        <w:pStyle w:val="Compact"/>
        <w:numPr>
          <w:ilvl w:val="0"/>
          <w:numId w:val="1009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Cmd+Shift+I</w:t>
      </w:r>
      <w:r>
        <w:t xml:space="preserve"> </w:t>
      </w:r>
      <w:r>
        <w:t xml:space="preserve">(Mac) or</w:t>
      </w:r>
      <w:r>
        <w:t xml:space="preserve"> </w:t>
      </w:r>
      <w:r>
        <w:rPr>
          <w:b/>
          <w:bCs/>
        </w:rPr>
        <w:t xml:space="preserve">Ctrl+Shift+I</w:t>
      </w:r>
      <w:r>
        <w:t xml:space="preserve"> </w:t>
      </w:r>
      <w:r>
        <w:t xml:space="preserve">(Windows/Linux), or click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icon in the Cursor UI (e.g. in the sidebar or top bar).</w:t>
      </w:r>
    </w:p>
    <w:p>
      <w:pPr>
        <w:pStyle w:val="Compact"/>
        <w:numPr>
          <w:ilvl w:val="0"/>
          <w:numId w:val="1009"/>
        </w:numPr>
      </w:pPr>
      <w:r>
        <w:t xml:space="preserve">Make sure you’re in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mode (not only Chat), so the AI can create and edit files and run commands.</w:t>
      </w:r>
    </w:p>
    <w:bookmarkEnd w:id="26"/>
    <w:bookmarkStart w:id="27" w:name="paste-one-full-prompt-per-step"/>
    <w:p>
      <w:pPr>
        <w:pStyle w:val="Heading3"/>
      </w:pPr>
      <w:r>
        <w:t xml:space="preserve">6.2 Paste one full prompt per step</w:t>
      </w:r>
    </w:p>
    <w:p>
      <w:pPr>
        <w:pStyle w:val="FirstParagraph"/>
      </w:pPr>
      <w:r>
        <w:t xml:space="preserve">For each step (01 through 07):</w:t>
      </w:r>
    </w:p>
    <w:p>
      <w:pPr>
        <w:pStyle w:val="Compact"/>
        <w:numPr>
          <w:ilvl w:val="0"/>
          <w:numId w:val="1010"/>
        </w:numPr>
      </w:pPr>
      <w:r>
        <w:t xml:space="preserve">In the scenario README, find the</w:t>
      </w:r>
      <w:r>
        <w:t xml:space="preserve"> </w:t>
      </w:r>
      <w:r>
        <w:rPr>
          <w:b/>
          <w:bCs/>
        </w:rPr>
        <w:t xml:space="preserve">Step 0X</w:t>
      </w:r>
      <w:r>
        <w:t xml:space="preserve"> </w:t>
      </w:r>
      <w:r>
        <w:t xml:space="preserve">section and the</w:t>
      </w:r>
      <w:r>
        <w:t xml:space="preserve"> </w:t>
      </w:r>
      <w:r>
        <w:rPr>
          <w:b/>
          <w:bCs/>
        </w:rPr>
        <w:t xml:space="preserve">entire</w:t>
      </w:r>
      <w:r>
        <w:t xml:space="preserve"> </w:t>
      </w:r>
      <w:r>
        <w:t xml:space="preserve">prompt (the block of instructions in quotes or a code block).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Copy the full prompt</w:t>
      </w:r>
      <w:r>
        <w:t xml:space="preserve"> </w:t>
      </w:r>
      <w:r>
        <w:t xml:space="preserve">(include all the text the scenario gives you).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Paste</w:t>
      </w:r>
      <w:r>
        <w:t xml:space="preserve"> </w:t>
      </w:r>
      <w:r>
        <w:t xml:space="preserve">it into the Cursor Agent input box.</w:t>
      </w:r>
    </w:p>
    <w:p>
      <w:pPr>
        <w:pStyle w:val="Compact"/>
        <w:numPr>
          <w:ilvl w:val="0"/>
          <w:numId w:val="1010"/>
        </w:numPr>
      </w:pPr>
      <w:r>
        <w:t xml:space="preserve">Send the message and</w:t>
      </w:r>
      <w:r>
        <w:t xml:space="preserve"> </w:t>
      </w:r>
      <w:r>
        <w:rPr>
          <w:b/>
          <w:bCs/>
        </w:rPr>
        <w:t xml:space="preserve">wait for the Agent to finish</w:t>
      </w:r>
      <w:r>
        <w:t xml:space="preserve"> </w:t>
      </w:r>
      <w:r>
        <w:t xml:space="preserve">(creating/editing files, and sometimes running terminal commands).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Skim the changes</w:t>
      </w:r>
      <w:r>
        <w:t xml:space="preserve"> </w:t>
      </w:r>
      <w:r>
        <w:t xml:space="preserve">in the file tree or open a file or two to see what was created.</w:t>
      </w:r>
    </w:p>
    <w:p>
      <w:pPr>
        <w:pStyle w:val="Compact"/>
        <w:numPr>
          <w:ilvl w:val="0"/>
          <w:numId w:val="1010"/>
        </w:numPr>
      </w:pPr>
      <w:r>
        <w:t xml:space="preserve">Then move on to the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step. (You can</w:t>
      </w:r>
      <w:r>
        <w:t xml:space="preserve"> </w:t>
      </w:r>
      <w:r>
        <w:rPr>
          <w:b/>
          <w:bCs/>
        </w:rPr>
        <w:t xml:space="preserve">skip Step 07</w:t>
      </w:r>
      <w:r>
        <w:t xml:space="preserve"> </w:t>
      </w:r>
      <w:r>
        <w:t xml:space="preserve">if you don’t want to push to GitHub.)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skip steps or reorder them. If a step fails, see</w:t>
      </w:r>
      <w:r>
        <w:t xml:space="preserve"> </w:t>
      </w:r>
      <w:hyperlink w:anchor="X604d32d4245089c058c4a17a722c369f414c972">
        <w:r>
          <w:rPr>
            <w:rStyle w:val="Hyperlink"/>
          </w:rPr>
          <w:t xml:space="preserve">Troubleshooting</w:t>
        </w:r>
      </w:hyperlink>
      <w:r>
        <w:t xml:space="preserve"> </w:t>
      </w:r>
      <w:r>
        <w:t xml:space="preserve">before continuing.</w:t>
      </w:r>
    </w:p>
    <w:bookmarkEnd w:id="27"/>
    <w:bookmarkStart w:id="28" w:name="what-each-step-usually-does"/>
    <w:p>
      <w:pPr>
        <w:pStyle w:val="Heading3"/>
      </w:pPr>
      <w:r>
        <w:t xml:space="preserve">6.3 What each step usually does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Typical 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Create custom objects and fields (metadata in</w:t>
            </w:r>
            <w:r>
              <w:t xml:space="preserve"> </w:t>
            </w:r>
            <w:r>
              <w:rPr>
                <w:rStyle w:val="VerbatimChar"/>
              </w:rPr>
              <w:t xml:space="preserve">force-app/main/default/objects/...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Create sample data (e.g. plan + CSV in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  <w:r>
              <w:t xml:space="preserve"> </w:t>
            </w:r>
            <w:r>
              <w:t xml:space="preserve">or Apex/scripts).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Create permission sets so users can access the new objects.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Create flows (e.g. screen flows, record-triggered flows).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Deploy to org:</w:t>
            </w:r>
            <w:r>
              <w:t xml:space="preserve"> </w:t>
            </w:r>
            <w:r>
              <w:rPr>
                <w:rStyle w:val="VerbatimChar"/>
              </w:rPr>
              <w:t xml:space="preserve">sf project deploy start</w:t>
            </w:r>
            <w:r>
              <w:t xml:space="preserve">, assign permission set, import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Create a Lightning Web Component (LWC) for the “wow” moment.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(Optional)</w:t>
            </w:r>
            <w:r>
              <w:t xml:space="preserve"> </w:t>
            </w:r>
            <w:r>
              <w:t xml:space="preserve">Initialize Git, add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, commit, and push to GitHub. Skip if you don’t need version control or a remote repo.</w:t>
            </w:r>
          </w:p>
        </w:tc>
      </w:tr>
    </w:tbl>
    <w:p>
      <w:pPr>
        <w:pStyle w:val="BodyText"/>
      </w:pPr>
      <w:r>
        <w:t xml:space="preserve">Step 05 often runs</w:t>
      </w:r>
      <w:r>
        <w:t xml:space="preserve"> </w:t>
      </w:r>
      <w:r>
        <w:rPr>
          <w:rStyle w:val="VerbatimChar"/>
        </w:rPr>
        <w:t xml:space="preserve">sf</w:t>
      </w:r>
      <w:r>
        <w:t xml:space="preserve"> </w:t>
      </w:r>
      <w:r>
        <w:t xml:space="preserve">commands for you; if the Agent doesn’t, run the deploy/assign/import commands from the scenario README yourself.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verify-in-salesforce"/>
    <w:p>
      <w:pPr>
        <w:pStyle w:val="Heading2"/>
      </w:pPr>
      <w:r>
        <w:t xml:space="preserve">7. Verify in Salesforce</w:t>
      </w:r>
    </w:p>
    <w:p>
      <w:pPr>
        <w:pStyle w:val="FirstParagraph"/>
      </w:pPr>
      <w:r>
        <w:t xml:space="preserve">After Step 05 (and again after 06 if you redeploy):</w:t>
      </w:r>
    </w:p>
    <w:p>
      <w:pPr>
        <w:numPr>
          <w:ilvl w:val="0"/>
          <w:numId w:val="1011"/>
        </w:numPr>
      </w:pPr>
      <w:r>
        <w:t xml:space="preserve">In terminal, from the project folder, run: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sf</w:t>
      </w:r>
      <w:r>
        <w:rPr>
          <w:rStyle w:val="NormalTok"/>
        </w:rPr>
        <w:t xml:space="preserve"> org open</w:t>
      </w:r>
    </w:p>
    <w:p>
      <w:pPr>
        <w:numPr>
          <w:ilvl w:val="0"/>
          <w:numId w:val="1011"/>
        </w:numPr>
      </w:pPr>
      <w:r>
        <w:t xml:space="preserve">In the org:</w:t>
      </w:r>
    </w:p>
    <w:p>
      <w:pPr>
        <w:pStyle w:val="Compact"/>
        <w:numPr>
          <w:ilvl w:val="1"/>
          <w:numId w:val="1012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App Launcher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Setup</w:t>
      </w:r>
      <w:r>
        <w:t xml:space="preserve"> </w:t>
      </w:r>
      <w:r>
        <w:t xml:space="preserve">for the new custom objects and tabs.</w:t>
      </w:r>
    </w:p>
    <w:p>
      <w:pPr>
        <w:pStyle w:val="Compact"/>
        <w:numPr>
          <w:ilvl w:val="1"/>
          <w:numId w:val="1012"/>
        </w:numPr>
      </w:pPr>
      <w:r>
        <w:t xml:space="preserve">Run the</w:t>
      </w:r>
      <w:r>
        <w:t xml:space="preserve"> </w:t>
      </w:r>
      <w:r>
        <w:rPr>
          <w:b/>
          <w:bCs/>
        </w:rPr>
        <w:t xml:space="preserve">Screen Flow</w:t>
      </w:r>
      <w:r>
        <w:t xml:space="preserve"> </w:t>
      </w:r>
      <w:r>
        <w:t xml:space="preserve">from the scenario (e.g. Quick Adoption Application) if applicable.</w:t>
      </w:r>
    </w:p>
    <w:p>
      <w:pPr>
        <w:pStyle w:val="Compact"/>
        <w:numPr>
          <w:ilvl w:val="1"/>
          <w:numId w:val="1012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record page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app</w:t>
      </w:r>
      <w:r>
        <w:t xml:space="preserve"> </w:t>
      </w:r>
      <w:r>
        <w:t xml:space="preserve">where you added the LWC and confirm the component appears and works.</w:t>
      </w:r>
    </w:p>
    <w:p>
      <w:pPr>
        <w:pStyle w:val="FirstParagraph"/>
      </w:pPr>
      <w:r>
        <w:t xml:space="preserve">If something’s missing, re-run the deploy step (Step 05) or the specific step that creates that artifact.</w:t>
      </w:r>
    </w:p>
    <w:p>
      <w:r>
        <w:pict>
          <v:rect style="width:0;height:1.5pt" o:hralign="center" o:hrstd="t" o:hr="t"/>
        </w:pict>
      </w:r>
    </w:p>
    <w:bookmarkEnd w:id="30"/>
    <w:bookmarkStart w:id="31" w:name="quick-reference"/>
    <w:p>
      <w:pPr>
        <w:pStyle w:val="Heading2"/>
      </w:pPr>
      <w:r>
        <w:t xml:space="preserve">8. 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2754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scenarios</w:t>
            </w:r>
          </w:p>
        </w:tc>
        <w:tc>
          <w:tcPr/>
          <w:p>
            <w:pPr>
              <w:pStyle w:val="Compact"/>
            </w:pPr>
            <w:r>
              <w:t xml:space="preserve">This repo:</w:t>
            </w:r>
            <w:r>
              <w:t xml:space="preserve"> </w:t>
            </w:r>
            <w:r>
              <w:rPr>
                <w:b/>
                <w:bCs/>
              </w:rPr>
              <w:t xml:space="preserve">Demo Scenarios</w:t>
            </w:r>
            <w:r>
              <w:t xml:space="preserve"> </w:t>
            </w: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Demo Scenarios README</w:t>
              </w:r>
            </w:hyperlink>
            <w:r>
              <w:t xml:space="preserve">, pick a scenario, open that scenario’s README.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project</w:t>
            </w:r>
          </w:p>
        </w:tc>
        <w:tc>
          <w:tcPr/>
          <w:p>
            <w:pPr>
              <w:pStyle w:val="Compact"/>
            </w:pPr>
            <w:r>
              <w:t xml:space="preserve">Terminal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b/>
                <w:bCs/>
              </w:rPr>
              <w:t xml:space="preserve">Step 00</w:t>
            </w:r>
            <w:r>
              <w:t xml:space="preserve"> </w:t>
            </w:r>
            <w:r>
              <w:t xml:space="preserve">from the scenario README.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in Cursor</w:t>
            </w:r>
          </w:p>
        </w:tc>
        <w:tc>
          <w:tcPr/>
          <w:p>
            <w:pPr>
              <w:pStyle w:val="Compact"/>
            </w:pPr>
            <w:r>
              <w:t xml:space="preserve">Cursor</w:t>
            </w:r>
          </w:p>
        </w:tc>
        <w:tc>
          <w:tcPr/>
          <w:p>
            <w:pPr>
              <w:pStyle w:val="Compact"/>
            </w:pPr>
            <w:r>
              <w:t xml:space="preserve">File → Open Folder → select project folder.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solution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Paste</w:t>
            </w:r>
            <w:r>
              <w:t xml:space="preserve"> </w:t>
            </w:r>
            <w:r>
              <w:rPr>
                <w:b/>
                <w:bCs/>
              </w:rPr>
              <w:t xml:space="preserve">Step 01</w:t>
            </w:r>
            <w:r>
              <w:t xml:space="preserve"> </w:t>
            </w:r>
            <w:r>
              <w:t xml:space="preserve">→ wait → paste</w:t>
            </w:r>
            <w:r>
              <w:t xml:space="preserve"> </w:t>
            </w:r>
            <w:r>
              <w:rPr>
                <w:b/>
                <w:bCs/>
              </w:rPr>
              <w:t xml:space="preserve">Step 02</w:t>
            </w:r>
            <w:r>
              <w:t xml:space="preserve"> </w:t>
            </w:r>
            <w:r>
              <w:t xml:space="preserve">→ … →</w:t>
            </w:r>
            <w:r>
              <w:t xml:space="preserve"> </w:t>
            </w:r>
            <w:r>
              <w:rPr>
                <w:b/>
                <w:bCs/>
              </w:rPr>
              <w:t xml:space="preserve">Step 06</w:t>
            </w:r>
            <w:r>
              <w:t xml:space="preserve"> </w:t>
            </w:r>
            <w:r>
              <w:t xml:space="preserve">(and</w:t>
            </w:r>
            <w:r>
              <w:t xml:space="preserve"> </w:t>
            </w:r>
            <w:r>
              <w:rPr>
                <w:b/>
                <w:bCs/>
              </w:rPr>
              <w:t xml:space="preserve">Step 07</w:t>
            </w:r>
            <w:r>
              <w:t xml:space="preserve"> </w:t>
            </w:r>
            <w:r>
              <w:t xml:space="preserve">if you want to push to GitHub).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/ open org</w:t>
            </w:r>
          </w:p>
        </w:tc>
        <w:tc>
          <w:tcPr/>
          <w:p>
            <w:pPr>
              <w:pStyle w:val="Compact"/>
            </w:pPr>
            <w:r>
              <w:t xml:space="preserve">Terminal or 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 project deploy start</w:t>
            </w:r>
            <w:r>
              <w:t xml:space="preserve">, assign permset, data import;</w:t>
            </w:r>
            <w:r>
              <w:t xml:space="preserve"> </w:t>
            </w:r>
            <w:r>
              <w:rPr>
                <w:rStyle w:val="VerbatimChar"/>
              </w:rPr>
              <w:t xml:space="preserve">sf org open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9" w:name="troubleshooting"/>
    <w:p>
      <w:pPr>
        <w:pStyle w:val="Heading2"/>
      </w:pPr>
      <w:r>
        <w:t xml:space="preserve">9. Troubleshooting</w:t>
      </w:r>
    </w:p>
    <w:bookmarkStart w:id="32" w:name="i-dont-see-cursor-agent"/>
    <w:p>
      <w:pPr>
        <w:pStyle w:val="Heading3"/>
      </w:pPr>
      <w:r>
        <w:t xml:space="preserve">“I don’t see Cursor Agent”</w:t>
      </w:r>
    </w:p>
    <w:p>
      <w:pPr>
        <w:pStyle w:val="Compact"/>
        <w:numPr>
          <w:ilvl w:val="0"/>
          <w:numId w:val="1013"/>
        </w:numPr>
      </w:pPr>
      <w:r>
        <w:t xml:space="preserve">Confirm you’re in</w:t>
      </w:r>
      <w:r>
        <w:t xml:space="preserve"> </w:t>
      </w:r>
      <w:r>
        <w:rPr>
          <w:b/>
          <w:bCs/>
        </w:rPr>
        <w:t xml:space="preserve">Cursor</w:t>
      </w:r>
      <w:r>
        <w:t xml:space="preserve"> </w:t>
      </w:r>
      <w:r>
        <w:t xml:space="preserve">(not VS Code). Agent is a Cursor feature.</w:t>
      </w:r>
    </w:p>
    <w:p>
      <w:pPr>
        <w:pStyle w:val="Compact"/>
        <w:numPr>
          <w:ilvl w:val="0"/>
          <w:numId w:val="1013"/>
        </w:numPr>
      </w:pPr>
      <w:r>
        <w:t xml:space="preserve">Try</w:t>
      </w:r>
      <w:r>
        <w:t xml:space="preserve"> </w:t>
      </w:r>
      <w:r>
        <w:rPr>
          <w:b/>
          <w:bCs/>
        </w:rPr>
        <w:t xml:space="preserve">Cmd+Shift+I</w:t>
      </w:r>
      <w:r>
        <w:t xml:space="preserve"> </w:t>
      </w:r>
      <w:r>
        <w:t xml:space="preserve">(Mac) or</w:t>
      </w:r>
      <w:r>
        <w:t xml:space="preserve"> </w:t>
      </w:r>
      <w:r>
        <w:rPr>
          <w:b/>
          <w:bCs/>
        </w:rPr>
        <w:t xml:space="preserve">Ctrl+Shift+I</w:t>
      </w:r>
      <w:r>
        <w:t xml:space="preserve"> </w:t>
      </w:r>
      <w:r>
        <w:t xml:space="preserve">(Windows/Linux), or look for “Agent” in the sidebar or command palette (</w:t>
      </w:r>
      <w:r>
        <w:rPr>
          <w:b/>
          <w:bCs/>
        </w:rPr>
        <w:t xml:space="preserve">Cmd/Ctrl+Shift+P</w:t>
      </w:r>
      <w:r>
        <w:t xml:space="preserve"> </w:t>
      </w:r>
      <w:r>
        <w:t xml:space="preserve">→ “Agent”).</w:t>
      </w:r>
    </w:p>
    <w:bookmarkEnd w:id="32"/>
    <w:bookmarkStart w:id="33" w:name="X8f9d72d4aa1a4cf7b5e80411ea6cdda335cb394"/>
    <w:p>
      <w:pPr>
        <w:pStyle w:val="Heading3"/>
      </w:pPr>
      <w:r>
        <w:t xml:space="preserve">“Step 00 fails:</w:t>
      </w:r>
      <w:r>
        <w:t xml:space="preserve"> </w:t>
      </w:r>
      <w:r>
        <w:rPr>
          <w:rStyle w:val="VerbatimChar"/>
        </w:rPr>
        <w:t xml:space="preserve">sf project generate</w:t>
      </w:r>
      <w:r>
        <w:t xml:space="preserve"> </w:t>
      </w:r>
      <w:r>
        <w:t xml:space="preserve">not found”</w:t>
      </w:r>
    </w:p>
    <w:p>
      <w:pPr>
        <w:pStyle w:val="Compact"/>
        <w:numPr>
          <w:ilvl w:val="0"/>
          <w:numId w:val="1014"/>
        </w:numPr>
      </w:pPr>
      <w:r>
        <w:t xml:space="preserve">Install</w:t>
      </w:r>
      <w:r>
        <w:t xml:space="preserve"> </w:t>
      </w:r>
      <w:hyperlink r:id="rId13">
        <w:r>
          <w:rPr>
            <w:rStyle w:val="Hyperlink"/>
          </w:rPr>
          <w:t xml:space="preserve">Salesforce CLI</w:t>
        </w:r>
      </w:hyperlink>
      <w:r>
        <w:t xml:space="preserve"> </w:t>
      </w:r>
      <w:r>
        <w:t xml:space="preserve">and ensure</w:t>
      </w:r>
      <w:r>
        <w:t xml:space="preserve"> </w:t>
      </w:r>
      <w:r>
        <w:rPr>
          <w:rStyle w:val="VerbatimChar"/>
        </w:rPr>
        <w:t xml:space="preserve">sf</w:t>
      </w:r>
      <w:r>
        <w:t xml:space="preserve"> </w:t>
      </w:r>
      <w:r>
        <w:t xml:space="preserve">is on your PATH. Restart the terminal and run</w:t>
      </w:r>
      <w:r>
        <w:t xml:space="preserve"> </w:t>
      </w:r>
      <w:r>
        <w:rPr>
          <w:rStyle w:val="VerbatimChar"/>
        </w:rPr>
        <w:t xml:space="preserve">sf --version</w:t>
      </w:r>
      <w:r>
        <w:t xml:space="preserve">.</w:t>
      </w:r>
    </w:p>
    <w:bookmarkEnd w:id="33"/>
    <w:bookmarkStart w:id="34" w:name="step-05-fails-target-org-not-set"/>
    <w:p>
      <w:pPr>
        <w:pStyle w:val="Heading3"/>
      </w:pPr>
      <w:r>
        <w:t xml:space="preserve">“Step 05 fails: target org not set”</w:t>
      </w:r>
    </w:p>
    <w:p>
      <w:pPr>
        <w:numPr>
          <w:ilvl w:val="0"/>
          <w:numId w:val="1015"/>
        </w:numPr>
      </w:pPr>
      <w:r>
        <w:t xml:space="preserve">Run: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sf</w:t>
      </w:r>
      <w:r>
        <w:rPr>
          <w:rStyle w:val="NormalTok"/>
        </w:rPr>
        <w:t xml:space="preserve"> org list</w:t>
      </w:r>
      <w:r>
        <w:br/>
      </w:r>
      <w:r>
        <w:rPr>
          <w:rStyle w:val="ExtensionTok"/>
        </w:rPr>
        <w:t xml:space="preserve">sf</w:t>
      </w:r>
      <w:r>
        <w:rPr>
          <w:rStyle w:val="NormalTok"/>
        </w:rPr>
        <w:t xml:space="preserve"> config set target-org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your-org-alias</w:t>
      </w:r>
      <w:r>
        <w:rPr>
          <w:rStyle w:val="OperatorTok"/>
        </w:rPr>
        <w:t xml:space="preserve">&gt;</w:t>
      </w:r>
    </w:p>
    <w:p>
      <w:pPr>
        <w:numPr>
          <w:ilvl w:val="0"/>
          <w:numId w:val="1015"/>
        </w:numPr>
      </w:pPr>
      <w:r>
        <w:t xml:space="preserve">Then re-run the deploy part of Step 05 (or the full step).</w:t>
      </w:r>
    </w:p>
    <w:bookmarkEnd w:id="34"/>
    <w:bookmarkStart w:id="35" w:name="X7ba52b7725cd9b18b877122a76b46b0ffc93d70"/>
    <w:p>
      <w:pPr>
        <w:pStyle w:val="Heading3"/>
      </w:pPr>
      <w:r>
        <w:t xml:space="preserve">“Permission set or object not found after deploy”</w:t>
      </w:r>
    </w:p>
    <w:p>
      <w:pPr>
        <w:numPr>
          <w:ilvl w:val="0"/>
          <w:numId w:val="1016"/>
        </w:numPr>
      </w:pPr>
      <w:r>
        <w:t xml:space="preserve">Deploy again: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sf</w:t>
      </w:r>
      <w:r>
        <w:rPr>
          <w:rStyle w:val="NormalTok"/>
        </w:rPr>
        <w:t xml:space="preserve"> project deploy start </w:t>
      </w:r>
      <w:r>
        <w:rPr>
          <w:rStyle w:val="AttributeTok"/>
        </w:rPr>
        <w:t xml:space="preserve">--target-org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your-org-alias</w:t>
      </w:r>
      <w:r>
        <w:rPr>
          <w:rStyle w:val="OperatorTok"/>
        </w:rPr>
        <w:t xml:space="preserve">&gt;</w:t>
      </w:r>
    </w:p>
    <w:p>
      <w:pPr>
        <w:numPr>
          <w:ilvl w:val="0"/>
          <w:numId w:val="1016"/>
        </w:numPr>
      </w:pPr>
      <w:r>
        <w:t xml:space="preserve">Assign the permission set (use the exact name from the scenario):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sf</w:t>
      </w:r>
      <w:r>
        <w:rPr>
          <w:rStyle w:val="NormalTok"/>
        </w:rPr>
        <w:t xml:space="preserve"> org assign permset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PermissionSetName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--target-org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your-org-alias</w:t>
      </w:r>
      <w:r>
        <w:rPr>
          <w:rStyle w:val="OperatorTok"/>
        </w:rPr>
        <w:t xml:space="preserve">&gt;</w:t>
      </w:r>
    </w:p>
    <w:bookmarkEnd w:id="35"/>
    <w:bookmarkStart w:id="36" w:name="agent-created-files-in-the-wrong-place"/>
    <w:p>
      <w:pPr>
        <w:pStyle w:val="Heading3"/>
      </w:pPr>
      <w:r>
        <w:t xml:space="preserve">“Agent created files in the wrong place”</w:t>
      </w:r>
    </w:p>
    <w:p>
      <w:pPr>
        <w:pStyle w:val="Compact"/>
        <w:numPr>
          <w:ilvl w:val="0"/>
          <w:numId w:val="1017"/>
        </w:numPr>
      </w:pPr>
      <w:r>
        <w:t xml:space="preserve">Make sure you</w:t>
      </w:r>
      <w:r>
        <w:t xml:space="preserve"> </w:t>
      </w:r>
      <w:r>
        <w:rPr>
          <w:b/>
          <w:bCs/>
        </w:rPr>
        <w:t xml:space="preserve">opened the project folder</w:t>
      </w:r>
      <w:r>
        <w:t xml:space="preserve"> </w:t>
      </w:r>
      <w:r>
        <w:t xml:space="preserve">(the one created in Step 00) in Cursor, not a parent or sibling folder. Re-open the correct folder and, if needed, re-run the step that went wrong.</w:t>
      </w:r>
    </w:p>
    <w:bookmarkEnd w:id="36"/>
    <w:bookmarkStart w:id="37" w:name="data-import-fails-in-step-05"/>
    <w:p>
      <w:pPr>
        <w:pStyle w:val="Heading3"/>
      </w:pPr>
      <w:r>
        <w:t xml:space="preserve">“Data import fails in Step 05”</w:t>
      </w:r>
    </w:p>
    <w:p>
      <w:pPr>
        <w:pStyle w:val="Compact"/>
        <w:numPr>
          <w:ilvl w:val="0"/>
          <w:numId w:val="1018"/>
        </w:numPr>
      </w:pPr>
      <w:r>
        <w:t xml:space="preserve">Ensure Step 02 ran successfully and that</w:t>
      </w:r>
      <w:r>
        <w:t xml:space="preserve"> </w:t>
      </w:r>
      <w:r>
        <w:rPr>
          <w:rStyle w:val="VerbatimChar"/>
        </w:rPr>
        <w:t xml:space="preserve">data/plan.json</w:t>
      </w:r>
      <w:r>
        <w:t xml:space="preserve"> </w:t>
      </w:r>
      <w:r>
        <w:t xml:space="preserve">(and any CSV files) exist. If the scenario uses a different data approach (e.g. Apex), follow the scenario’s README. You can ask the Agent to “run the data import for this project as described in the scenario.”</w:t>
      </w:r>
    </w:p>
    <w:bookmarkEnd w:id="37"/>
    <w:bookmarkStart w:id="38" w:name="i-want-to-try-another-scenario"/>
    <w:p>
      <w:pPr>
        <w:pStyle w:val="Heading3"/>
      </w:pPr>
      <w:r>
        <w:t xml:space="preserve">“I want to try another scenario”</w:t>
      </w:r>
    </w:p>
    <w:p>
      <w:pPr>
        <w:pStyle w:val="Compact"/>
        <w:numPr>
          <w:ilvl w:val="0"/>
          <w:numId w:val="1019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project: run</w:t>
      </w:r>
      <w:r>
        <w:t xml:space="preserve"> </w:t>
      </w:r>
      <w:r>
        <w:rPr>
          <w:b/>
          <w:bCs/>
        </w:rPr>
        <w:t xml:space="preserve">Step 00</w:t>
      </w:r>
      <w:r>
        <w:t xml:space="preserve"> </w:t>
      </w:r>
      <w:r>
        <w:t xml:space="preserve">from the new scenario’s README in a new folder, then open that new folder in Cursor and run Steps 01–07 for that scenario. Don’t mix two scenarios in one project.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where-to-go-next"/>
    <w:p>
      <w:pPr>
        <w:pStyle w:val="Heading2"/>
      </w:pPr>
      <w:r>
        <w:t xml:space="preserve">Where to go next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All scenarios:</w:t>
      </w:r>
      <w:r>
        <w:t xml:space="preserve"> </w:t>
      </w:r>
      <w:r>
        <w:t xml:space="preserve">This repo —</w:t>
      </w:r>
      <w:r>
        <w:t xml:space="preserve"> </w:t>
      </w:r>
      <w:hyperlink r:id="rId19">
        <w:r>
          <w:rPr>
            <w:rStyle w:val="Hyperlink"/>
          </w:rPr>
          <w:t xml:space="preserve">Demo Scenarios</w:t>
        </w:r>
      </w:hyperlink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Scenario index (what each step contains):</w:t>
      </w:r>
      <w:r>
        <w:t xml:space="preserve"> </w:t>
      </w:r>
      <w:hyperlink r:id="rId20">
        <w:r>
          <w:rPr>
            <w:rStyle w:val="Hyperlink"/>
          </w:rPr>
          <w:t xml:space="preserve">Demo Scenarios README</w:t>
        </w:r>
      </w:hyperlink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Salesforce CLI:</w:t>
      </w:r>
      <w:r>
        <w:t xml:space="preserve"> </w:t>
      </w:r>
      <w:hyperlink r:id="rId13">
        <w:r>
          <w:rPr>
            <w:rStyle w:val="Hyperlink"/>
          </w:rPr>
          <w:t xml:space="preserve">Salesforce CLI (sf) Setup</w:t>
        </w:r>
      </w:hyperlink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Cursor:</w:t>
      </w:r>
      <w:r>
        <w:t xml:space="preserve"> </w:t>
      </w:r>
      <w:hyperlink r:id="rId40">
        <w:r>
          <w:rPr>
            <w:rStyle w:val="Hyperlink"/>
          </w:rPr>
          <w:t xml:space="preserve">Cursor documentation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enablement guide is for demonstration and learning. Do not deploy Demo Resources scenarios to production. Use a scratch org or sandbox only.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../Nonprofit%20%26%20Rescue/PawPrint%20Rescue%20Network/" TargetMode="External" /><Relationship Type="http://schemas.openxmlformats.org/officeDocument/2006/relationships/hyperlink" Id="rId20" Target="../README.md" TargetMode="External" /><Relationship Type="http://schemas.openxmlformats.org/officeDocument/2006/relationships/hyperlink" Id="rId12" Target="https://cursor.com" TargetMode="External" /><Relationship Type="http://schemas.openxmlformats.org/officeDocument/2006/relationships/hyperlink" Id="rId13" Target="https://developer.salesforce.com/docs/atlas-en-us/sfdx_setup_install_cli/sfdx_setup_install_cli_install.htm" TargetMode="External" /><Relationship Type="http://schemas.openxmlformats.org/officeDocument/2006/relationships/hyperlink" Id="rId40" Target="https://docs.cursor.com" TargetMode="External" /><Relationship Type="http://schemas.openxmlformats.org/officeDocument/2006/relationships/hyperlink" Id="rId19" Target="https://github.com/sfdc-brendan/Demo-Resources/tree/main/Demo%20Scenario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Nonprofit%20%26%20Rescue/PawPrint%20Rescue%20Network/" TargetMode="External" /><Relationship Type="http://schemas.openxmlformats.org/officeDocument/2006/relationships/hyperlink" Id="rId20" Target="../README.md" TargetMode="External" /><Relationship Type="http://schemas.openxmlformats.org/officeDocument/2006/relationships/hyperlink" Id="rId12" Target="https://cursor.com" TargetMode="External" /><Relationship Type="http://schemas.openxmlformats.org/officeDocument/2006/relationships/hyperlink" Id="rId13" Target="https://developer.salesforce.com/docs/atlas-en-us/sfdx_setup_install_cli/sfdx_setup_install_cli_install.htm" TargetMode="External" /><Relationship Type="http://schemas.openxmlformats.org/officeDocument/2006/relationships/hyperlink" Id="rId40" Target="https://docs.cursor.com" TargetMode="External" /><Relationship Type="http://schemas.openxmlformats.org/officeDocument/2006/relationships/hyperlink" Id="rId19" Target="https://github.com/sfdc-brendan/Demo-Resources/tree/main/Demo%20Scenario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2026-03-10T19:12:18Z</dcterms:created>
  <dcterms:modified xsi:type="dcterms:W3CDTF">2026-03-10T19:12:18Z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