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324" w:lineRule="auto"/>
      </w:pPr>
      <w:r>
        <w:rPr>
          <w:rFonts w:ascii="Arial" w:hAnsi="Arial" w:eastAsia="Arial"/>
          <w:b/>
          <w:caps/>
          <w:color w:val="0D0D0D"/>
          <w:sz w:val="32"/>
        </w:rPr>
        <w:t>ARI CONSULTING</w:t>
      </w:r>
    </w:p>
    <w:p>
      <w:pPr>
        <w:spacing w:before="0" w:after="840" w:line="324" w:lineRule="auto"/>
      </w:pPr>
      <w:r>
        <w:rPr>
          <w:rFonts w:ascii="Arial" w:hAnsi="Arial" w:eastAsia="Arial"/>
          <w:b w:val="0"/>
          <w:caps w:val="0"/>
          <w:color w:val="555555"/>
          <w:sz w:val="18"/>
        </w:rPr>
        <w:t>Consultoría Oracle · Ciudad de México</w:t>
      </w:r>
    </w:p>
    <w:p>
      <w:pPr>
        <w:spacing w:before="0" w:after="640" w:line="324" w:lineRule="auto"/>
        <w:ind w:left="85"/>
        <w:shd w:fill="0D0D0D"/>
      </w:pPr>
      <w:r>
        <w:rPr>
          <w:rFonts w:ascii="Arial" w:hAnsi="Arial" w:eastAsia="Arial"/>
          <w:b/>
          <w:caps/>
          <w:color w:val="FFFFFF"/>
          <w:sz w:val="18"/>
        </w:rPr>
        <w:t>ORACLE CLOUD · CONSULTORÍA BUSINESS</w:t>
      </w:r>
    </w:p>
    <w:p>
      <w:pPr>
        <w:spacing w:before="0" w:after="160" w:line="324" w:lineRule="auto"/>
      </w:pPr>
      <w:r>
        <w:rPr>
          <w:rFonts w:ascii="Arial" w:hAnsi="Arial" w:eastAsia="Arial"/>
          <w:b/>
          <w:caps/>
          <w:color w:val="0D0D0D"/>
          <w:sz w:val="56"/>
        </w:rPr>
        <w:t>Propuesta Comercial</w:t>
      </w:r>
    </w:p>
    <w:p>
      <w:pPr>
        <w:spacing w:before="0" w:after="100" w:line="324" w:lineRule="auto"/>
      </w:pPr>
      <w:r>
        <w:rPr>
          <w:rFonts w:ascii="Arial" w:hAnsi="Arial" w:eastAsia="Arial"/>
          <w:b/>
          <w:caps w:val="0"/>
          <w:color w:val="0D0D0D"/>
          <w:sz w:val="64"/>
        </w:rPr>
        <w:t>Banco Central del Sur</w:t>
      </w:r>
    </w:p>
    <w:p>
      <w:pPr>
        <w:spacing w:before="0" w:after="520" w:line="324" w:lineRule="auto"/>
      </w:pPr>
      <w:r>
        <w:rPr>
          <w:rFonts w:ascii="Arial" w:hAnsi="Arial" w:eastAsia="Arial"/>
          <w:b w:val="0"/>
          <w:caps w:val="0"/>
          <w:color w:val="555555"/>
          <w:sz w:val="20"/>
        </w:rPr>
        <w:t>Propuesta No. 872/2026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c>
          <w:tcPr>
            <w:tcW w:type="dxa" w:w="2381"/>
            <w:shd w:fill="F9F9F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555555"/>
                <w:sz w:val="16"/>
              </w:rPr>
              <w:t>FECHA DE EMISIÓN</w:t>
            </w:r>
          </w:p>
        </w:tc>
        <w:tc>
          <w:tcPr>
            <w:tcW w:type="dxa" w:w="6690"/>
            <w:shd w:fill="F9F9F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D0D0D"/>
                <w:sz w:val="18"/>
              </w:rPr>
              <w:t>8 de octubre de 2026</w:t>
            </w:r>
          </w:p>
        </w:tc>
      </w:tr>
      <w:tr>
        <w:tc>
          <w:tcPr>
            <w:tcW w:type="dxa" w:w="2381"/>
            <w:shd w:fill="F9F9F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555555"/>
                <w:sz w:val="16"/>
              </w:rPr>
              <w:t>VÁLIDA HASTA</w:t>
            </w:r>
          </w:p>
        </w:tc>
        <w:tc>
          <w:tcPr>
            <w:tcW w:type="dxa" w:w="669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D0D0D"/>
                <w:sz w:val="18"/>
              </w:rPr>
              <w:t>7 de noviembre de 2026 - 30 días naturales</w:t>
            </w:r>
          </w:p>
        </w:tc>
      </w:tr>
      <w:tr>
        <w:tc>
          <w:tcPr>
            <w:tcW w:type="dxa" w:w="2381"/>
            <w:shd w:fill="F9F9F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555555"/>
                <w:sz w:val="16"/>
              </w:rPr>
              <w:t>EMPRESA</w:t>
            </w:r>
          </w:p>
        </w:tc>
        <w:tc>
          <w:tcPr>
            <w:tcW w:type="dxa" w:w="6690"/>
            <w:shd w:fill="F9F9F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D0D0D"/>
                <w:sz w:val="18"/>
              </w:rPr>
              <w:t>Banco Central del Sur</w:t>
            </w:r>
          </w:p>
        </w:tc>
      </w:tr>
      <w:tr>
        <w:tc>
          <w:tcPr>
            <w:tcW w:type="dxa" w:w="2381"/>
            <w:shd w:fill="F9F9F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555555"/>
                <w:sz w:val="16"/>
              </w:rPr>
              <w:t>SECTOR</w:t>
            </w:r>
          </w:p>
        </w:tc>
        <w:tc>
          <w:tcPr>
            <w:tcW w:type="dxa" w:w="669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D0D0D"/>
                <w:sz w:val="18"/>
              </w:rPr>
              <w:t>Financiero</w:t>
            </w:r>
          </w:p>
        </w:tc>
      </w:tr>
      <w:tr>
        <w:tc>
          <w:tcPr>
            <w:tcW w:type="dxa" w:w="2381"/>
            <w:shd w:fill="F9F9F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555555"/>
                <w:sz w:val="16"/>
              </w:rPr>
              <w:t>CONTACTO PRINCIPAL</w:t>
            </w:r>
          </w:p>
        </w:tc>
        <w:tc>
          <w:tcPr>
            <w:tcW w:type="dxa" w:w="6690"/>
            <w:shd w:fill="F9F9F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D0D0D"/>
                <w:sz w:val="18"/>
              </w:rPr>
              <w:t>Emily, CEO</w:t>
            </w:r>
          </w:p>
        </w:tc>
      </w:tr>
      <w:tr>
        <w:tc>
          <w:tcPr>
            <w:tcW w:type="dxa" w:w="2381"/>
            <w:shd w:fill="F9F9F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555555"/>
                <w:sz w:val="16"/>
              </w:rPr>
              <w:t>EMAIL</w:t>
            </w:r>
          </w:p>
        </w:tc>
        <w:tc>
          <w:tcPr>
            <w:tcW w:type="dxa" w:w="669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D0D0D"/>
                <w:sz w:val="18"/>
              </w:rPr>
              <w:t>Emily@bancoceentralsur.com</w:t>
            </w:r>
          </w:p>
        </w:tc>
      </w:tr>
    </w:tbl>
    <w:p>
      <w:pPr>
        <w:spacing w:before="0" w:after="360" w:line="324" w:lineRule="auto"/>
      </w:pPr>
      <w:r>
        <w:rPr>
          <w:rFonts w:ascii="Arial" w:hAnsi="Arial" w:eastAsia="Arial"/>
          <w:b w:val="0"/>
          <w:caps w:val="0"/>
          <w:color w:val="0D0D0D"/>
          <w:sz w:val="22"/>
        </w:rPr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c>
          <w:tcPr>
            <w:tcW w:type="dxa" w:w="2381"/>
            <w:shd w:fill="F9F9F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555555"/>
                <w:sz w:val="16"/>
              </w:rPr>
              <w:t>CONSULTOR RESPONSABLE</w:t>
            </w:r>
          </w:p>
        </w:tc>
        <w:tc>
          <w:tcPr>
            <w:tcW w:type="dxa" w:w="6690"/>
            <w:shd w:fill="F9F9F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D0D0D"/>
                <w:sz w:val="18"/>
              </w:rPr>
              <w:t>Eric</w:t>
            </w:r>
          </w:p>
        </w:tc>
      </w:tr>
      <w:tr>
        <w:tc>
          <w:tcPr>
            <w:tcW w:type="dxa" w:w="2381"/>
            <w:shd w:fill="F9F9F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555555"/>
                <w:sz w:val="16"/>
              </w:rPr>
              <w:t>EMAIL</w:t>
            </w:r>
          </w:p>
        </w:tc>
        <w:tc>
          <w:tcPr>
            <w:tcW w:type="dxa" w:w="669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D0D0D"/>
                <w:sz w:val="18"/>
              </w:rPr>
              <w:t>eric@ariconsulting.com.mx</w:t>
            </w:r>
          </w:p>
        </w:tc>
      </w:tr>
      <w:tr>
        <w:tc>
          <w:tcPr>
            <w:tcW w:type="dxa" w:w="2381"/>
            <w:shd w:fill="F9F9F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555555"/>
                <w:sz w:val="16"/>
              </w:rPr>
              <w:t>DIRECCIÓN</w:t>
            </w:r>
          </w:p>
        </w:tc>
        <w:tc>
          <w:tcPr>
            <w:tcW w:type="dxa" w:w="6690"/>
            <w:shd w:fill="F9F9F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D0D0D"/>
                <w:sz w:val="18"/>
              </w:rPr>
              <w:t>Ciudad de México</w:t>
            </w:r>
          </w:p>
        </w:tc>
      </w:tr>
    </w:tbl>
    <w:p>
      <w:r>
        <w:br w:type="page"/>
      </w:r>
    </w:p>
    <w:p>
      <w:pPr>
        <w:spacing w:before="0" w:after="60" w:line="324" w:lineRule="auto"/>
      </w:pPr>
      <w:r>
        <w:rPr>
          <w:rFonts w:ascii="Arial" w:hAnsi="Arial" w:eastAsia="Arial"/>
          <w:b w:val="0"/>
          <w:caps w:val="0"/>
          <w:color w:val="555555"/>
          <w:sz w:val="18"/>
        </w:rPr>
        <w:t>01 / 05</w:t>
      </w:r>
    </w:p>
    <w:p>
      <w:pPr>
        <w:spacing w:before="0" w:after="300" w:line="324" w:lineRule="auto"/>
        <w:pBdr>
          <w:bottom w:val="single" w:sz="8" w:space="8" w:color="0D0D0D"/>
        </w:pBdr>
      </w:pPr>
      <w:r>
        <w:rPr>
          <w:rFonts w:ascii="Arial" w:hAnsi="Arial" w:eastAsia="Arial"/>
          <w:b/>
          <w:caps/>
          <w:color w:val="0D0D0D"/>
          <w:sz w:val="36"/>
        </w:rPr>
        <w:t>Comprensión del Contexto</w:t>
      </w:r>
    </w:p>
    <w:p>
      <w:pPr>
        <w:spacing w:before="0" w:after="160" w:line="324" w:lineRule="auto"/>
      </w:pPr>
      <w:r>
        <w:rPr>
          <w:rFonts w:ascii="Arial" w:hAnsi="Arial" w:eastAsia="Arial"/>
          <w:b w:val="0"/>
          <w:caps w:val="0"/>
          <w:color w:val="0D0D0D"/>
          <w:sz w:val="22"/>
        </w:rPr>
        <w:t>Banco Central del Sur opera en un entorno financiero que exige trazabilidad, control y continuidad operativa. La actualización de sus sistemas legados es una prioridad para sostener una operación de 3,000 colaboradores distribuidos en cuatro unidades y atender una base de aproximadamente 20,000 clientes.</w:t>
      </w:r>
    </w:p>
    <w:p>
      <w:pPr>
        <w:spacing w:before="0" w:after="160" w:line="324" w:lineRule="auto"/>
      </w:pPr>
      <w:r>
        <w:rPr>
          <w:rFonts w:ascii="Arial" w:hAnsi="Arial" w:eastAsia="Arial"/>
          <w:b w:val="0"/>
          <w:caps w:val="0"/>
          <w:color w:val="0D0D0D"/>
          <w:sz w:val="22"/>
        </w:rPr>
        <w:t>Entendemos que la coexistencia de plataformas heredadas limita la estandarización de procesos, incrementa la dependencia de actividades manuales y dificulta contar con información financiera y de capital humano oportuna para la toma de decisiones.</w:t>
      </w:r>
    </w:p>
    <w:p>
      <w:pPr>
        <w:spacing w:before="0" w:after="160" w:line="324" w:lineRule="auto"/>
      </w:pPr>
      <w:r>
        <w:rPr>
          <w:rFonts w:ascii="Arial" w:hAnsi="Arial" w:eastAsia="Arial"/>
          <w:b w:val="0"/>
          <w:caps w:val="0"/>
          <w:color w:val="0D0D0D"/>
          <w:sz w:val="22"/>
        </w:rPr>
        <w:t>La iniciativa propuesta busca modernizar los procesos financieros y de gestión de personas mediante Oracle Cloud, con una implementación coordinada que preserve la continuidad del negocio y habilite una operación escalable.</w:t>
      </w:r>
    </w:p>
    <w:p>
      <w:pPr>
        <w:spacing w:before="180" w:after="80" w:line="324" w:lineRule="auto"/>
      </w:pPr>
      <w:r>
        <w:rPr>
          <w:rFonts w:ascii="Arial" w:hAnsi="Arial" w:eastAsia="Arial"/>
          <w:b/>
          <w:caps/>
          <w:color w:val="555555"/>
          <w:sz w:val="18"/>
        </w:rPr>
        <w:t>Factores que orientan la propuesta</w:t>
      </w:r>
    </w:p>
    <w:p>
      <w:pPr>
        <w:pStyle w:val="ListBullet"/>
        <w:spacing w:after="80" w:line="300" w:lineRule="auto"/>
      </w:pPr>
      <w:r>
        <w:rPr>
          <w:rFonts w:ascii="Arial" w:hAnsi="Arial" w:eastAsia="Arial"/>
          <w:b w:val="0"/>
          <w:caps w:val="0"/>
          <w:color w:val="0D0D0D"/>
          <w:sz w:val="20"/>
        </w:rPr>
        <w:t>Estandarizar procesos financieros y fortalecer el control sobre la información contable.</w:t>
      </w:r>
    </w:p>
    <w:p>
      <w:pPr>
        <w:pStyle w:val="ListBullet"/>
        <w:spacing w:after="80" w:line="300" w:lineRule="auto"/>
      </w:pPr>
      <w:r>
        <w:rPr>
          <w:rFonts w:ascii="Arial" w:hAnsi="Arial" w:eastAsia="Arial"/>
          <w:b w:val="0"/>
          <w:caps w:val="0"/>
          <w:color w:val="0D0D0D"/>
          <w:sz w:val="20"/>
        </w:rPr>
        <w:t>Centralizar la información de colaboradores y habilitar una gestión de capital humano más consistente.</w:t>
      </w:r>
    </w:p>
    <w:p>
      <w:pPr>
        <w:pStyle w:val="ListBullet"/>
        <w:spacing w:after="80" w:line="300" w:lineRule="auto"/>
      </w:pPr>
      <w:r>
        <w:rPr>
          <w:rFonts w:ascii="Arial" w:hAnsi="Arial" w:eastAsia="Arial"/>
          <w:b w:val="0"/>
          <w:caps w:val="0"/>
          <w:color w:val="0D0D0D"/>
          <w:sz w:val="20"/>
        </w:rPr>
        <w:t>Reducir la dependencia de sistemas legados y preparar una plataforma para el crecimiento de las cuatro unidades.</w:t>
      </w:r>
    </w:p>
    <w:p>
      <w:r>
        <w:br w:type="page"/>
      </w:r>
    </w:p>
    <w:p>
      <w:pPr>
        <w:spacing w:before="0" w:after="60" w:line="324" w:lineRule="auto"/>
      </w:pPr>
      <w:r>
        <w:rPr>
          <w:rFonts w:ascii="Arial" w:hAnsi="Arial" w:eastAsia="Arial"/>
          <w:b w:val="0"/>
          <w:caps w:val="0"/>
          <w:color w:val="555555"/>
          <w:sz w:val="18"/>
        </w:rPr>
        <w:t>02 / 05</w:t>
      </w:r>
    </w:p>
    <w:p>
      <w:pPr>
        <w:spacing w:before="0" w:after="300" w:line="324" w:lineRule="auto"/>
        <w:pBdr>
          <w:bottom w:val="single" w:sz="8" w:space="8" w:color="0D0D0D"/>
        </w:pBdr>
      </w:pPr>
      <w:r>
        <w:rPr>
          <w:rFonts w:ascii="Arial" w:hAnsi="Arial" w:eastAsia="Arial"/>
          <w:b/>
          <w:caps/>
          <w:color w:val="0D0D0D"/>
          <w:sz w:val="36"/>
        </w:rPr>
        <w:t>Solución Propuesta</w:t>
      </w:r>
    </w:p>
    <w:p>
      <w:pPr>
        <w:spacing w:before="0" w:after="160" w:line="324" w:lineRule="auto"/>
      </w:pPr>
      <w:r>
        <w:rPr>
          <w:rFonts w:ascii="Arial" w:hAnsi="Arial" w:eastAsia="Arial"/>
          <w:b w:val="0"/>
          <w:caps w:val="0"/>
          <w:color w:val="0D0D0D"/>
          <w:sz w:val="22"/>
        </w:rPr>
        <w:t>ARI CONSULTING propone ejecutar dos frentes integrados de Oracle Cloud. Cada servicio responde a necesidades concretas de Banco Central del Sur y se coordinará con los equipos clave para mantener una visión única de datos y procesos.</w:t>
      </w:r>
    </w:p>
    <w:p>
      <w:pPr>
        <w:spacing w:before="180" w:after="80" w:line="324" w:lineRule="auto"/>
      </w:pPr>
      <w:r>
        <w:rPr>
          <w:rFonts w:ascii="Arial" w:hAnsi="Arial" w:eastAsia="Arial"/>
          <w:b/>
          <w:caps/>
          <w:color w:val="555555"/>
          <w:sz w:val="18"/>
        </w:rPr>
        <w:t>Servicio 01</w:t>
      </w:r>
    </w:p>
    <w:p>
      <w:pPr>
        <w:spacing w:before="0" w:after="100" w:line="324" w:lineRule="auto"/>
      </w:pPr>
      <w:r>
        <w:rPr>
          <w:rFonts w:ascii="Arial" w:hAnsi="Arial" w:eastAsia="Arial"/>
          <w:b/>
          <w:caps/>
          <w:color w:val="0D0D0D"/>
          <w:sz w:val="26"/>
        </w:rPr>
        <w:t>Implementación Oracle ERP Cloud (Financials)</w:t>
      </w:r>
    </w:p>
    <w:p>
      <w:pPr>
        <w:spacing w:before="0" w:after="160" w:line="324" w:lineRule="auto"/>
      </w:pPr>
      <w:r>
        <w:rPr>
          <w:rFonts w:ascii="Arial" w:hAnsi="Arial" w:eastAsia="Arial"/>
          <w:b w:val="0"/>
          <w:caps w:val="0"/>
          <w:color w:val="0D0D0D"/>
          <w:sz w:val="22"/>
        </w:rPr>
        <w:t>Objetivo para Banco Central del Sur: habilitar una plataforma financiera integrada para fortalecer el control contable, la administración de cuentas por pagar y cobrar, los activos fijos y la visibilidad de efectivo.</w:t>
      </w:r>
    </w:p>
    <w:p>
      <w:pPr>
        <w:spacing w:before="180" w:after="80" w:line="324" w:lineRule="auto"/>
      </w:pPr>
      <w:r>
        <w:rPr>
          <w:rFonts w:ascii="Arial" w:hAnsi="Arial" w:eastAsia="Arial"/>
          <w:b/>
          <w:caps/>
          <w:color w:val="555555"/>
          <w:sz w:val="18"/>
        </w:rPr>
        <w:t>Alcance incluido</w:t>
      </w:r>
    </w:p>
    <w:p>
      <w:pPr>
        <w:pStyle w:val="ListBullet"/>
        <w:spacing w:after="80" w:line="300" w:lineRule="auto"/>
      </w:pPr>
      <w:r>
        <w:rPr>
          <w:rFonts w:ascii="Arial" w:hAnsi="Arial" w:eastAsia="Arial"/>
          <w:b w:val="0"/>
          <w:caps w:val="0"/>
          <w:color w:val="0D0D0D"/>
          <w:sz w:val="20"/>
        </w:rPr>
        <w:t>Configuración de General Ledger, Accounts Payable, Accounts Receivable, Fixed Assets, Expense Management y Cash Management.</w:t>
      </w:r>
    </w:p>
    <w:p>
      <w:pPr>
        <w:pStyle w:val="ListBullet"/>
        <w:spacing w:after="80" w:line="300" w:lineRule="auto"/>
      </w:pPr>
      <w:r>
        <w:rPr>
          <w:rFonts w:ascii="Arial" w:hAnsi="Arial" w:eastAsia="Arial"/>
          <w:b w:val="0"/>
          <w:caps w:val="0"/>
          <w:color w:val="0D0D0D"/>
          <w:sz w:val="20"/>
        </w:rPr>
        <w:t>Diseño del plan de cuentas, centros de costo, reglas de operación y reportes prioritarios.</w:t>
      </w:r>
    </w:p>
    <w:p>
      <w:pPr>
        <w:pStyle w:val="ListBullet"/>
        <w:spacing w:after="80" w:line="300" w:lineRule="auto"/>
      </w:pPr>
      <w:r>
        <w:rPr>
          <w:rFonts w:ascii="Arial" w:hAnsi="Arial" w:eastAsia="Arial"/>
          <w:b w:val="0"/>
          <w:caps w:val="0"/>
          <w:color w:val="0D0D0D"/>
          <w:sz w:val="20"/>
        </w:rPr>
        <w:t>Migración de datos históricos definidos, pruebas integradas y acompañamiento al go-live.</w:t>
      </w:r>
    </w:p>
    <w:p>
      <w:pPr>
        <w:spacing w:before="180" w:after="80" w:line="324" w:lineRule="auto"/>
      </w:pPr>
      <w:r>
        <w:rPr>
          <w:rFonts w:ascii="Arial" w:hAnsi="Arial" w:eastAsia="Arial"/>
          <w:b/>
          <w:caps/>
          <w:color w:val="555555"/>
          <w:sz w:val="18"/>
        </w:rPr>
        <w:t>Servicio 02</w:t>
      </w:r>
    </w:p>
    <w:p>
      <w:pPr>
        <w:spacing w:before="0" w:after="100" w:line="324" w:lineRule="auto"/>
      </w:pPr>
      <w:r>
        <w:rPr>
          <w:rFonts w:ascii="Arial" w:hAnsi="Arial" w:eastAsia="Arial"/>
          <w:b/>
          <w:caps/>
          <w:color w:val="0D0D0D"/>
          <w:sz w:val="26"/>
        </w:rPr>
        <w:t>Implementación Oracle HCM Cloud</w:t>
      </w:r>
    </w:p>
    <w:p>
      <w:pPr>
        <w:spacing w:before="0" w:after="160" w:line="324" w:lineRule="auto"/>
      </w:pPr>
      <w:r>
        <w:rPr>
          <w:rFonts w:ascii="Arial" w:hAnsi="Arial" w:eastAsia="Arial"/>
          <w:b w:val="0"/>
          <w:caps w:val="0"/>
          <w:color w:val="0D0D0D"/>
          <w:sz w:val="22"/>
        </w:rPr>
        <w:t>Objetivo para Banco Central del Sur: consolidar la información de 3,000 colaboradores y establecer procesos consistentes de capital humano, con una base preparada para la evolución organizacional.</w:t>
      </w:r>
    </w:p>
    <w:p>
      <w:pPr>
        <w:spacing w:before="180" w:after="80" w:line="324" w:lineRule="auto"/>
      </w:pPr>
      <w:r>
        <w:rPr>
          <w:rFonts w:ascii="Arial" w:hAnsi="Arial" w:eastAsia="Arial"/>
          <w:b/>
          <w:caps/>
          <w:color w:val="555555"/>
          <w:sz w:val="18"/>
        </w:rPr>
        <w:t>Alcance incluido</w:t>
      </w:r>
    </w:p>
    <w:p>
      <w:pPr>
        <w:pStyle w:val="ListBullet"/>
        <w:spacing w:after="80" w:line="300" w:lineRule="auto"/>
      </w:pPr>
      <w:r>
        <w:rPr>
          <w:rFonts w:ascii="Arial" w:hAnsi="Arial" w:eastAsia="Arial"/>
          <w:b w:val="0"/>
          <w:caps w:val="0"/>
          <w:color w:val="0D0D0D"/>
          <w:sz w:val="20"/>
        </w:rPr>
        <w:t>Configuración de Core HR, nómina, gestión de ausencias, reclutamiento, talento y beneficios, conforme al alcance validado en descubrimiento.</w:t>
      </w:r>
    </w:p>
    <w:p>
      <w:pPr>
        <w:pStyle w:val="ListBullet"/>
        <w:spacing w:after="80" w:line="300" w:lineRule="auto"/>
      </w:pPr>
      <w:r>
        <w:rPr>
          <w:rFonts w:ascii="Arial" w:hAnsi="Arial" w:eastAsia="Arial"/>
          <w:b w:val="0"/>
          <w:caps w:val="0"/>
          <w:color w:val="0D0D0D"/>
          <w:sz w:val="20"/>
        </w:rPr>
        <w:t>Modelado de la estructura organizacional de las cuatro unidades y migración de datos históricos acordados.</w:t>
      </w:r>
    </w:p>
    <w:p>
      <w:pPr>
        <w:pStyle w:val="ListBullet"/>
        <w:spacing w:after="80" w:line="300" w:lineRule="auto"/>
      </w:pPr>
      <w:r>
        <w:rPr>
          <w:rFonts w:ascii="Arial" w:hAnsi="Arial" w:eastAsia="Arial"/>
          <w:b w:val="0"/>
          <w:caps w:val="0"/>
          <w:color w:val="0D0D0D"/>
          <w:sz w:val="20"/>
        </w:rPr>
        <w:t>Pruebas integradas, capacitación a usuarios clave y soporte intensivo durante la salida a producción.</w:t>
      </w:r>
    </w:p>
    <w:p>
      <w:r>
        <w:br w:type="page"/>
      </w:r>
    </w:p>
    <w:p>
      <w:pPr>
        <w:spacing w:before="0" w:after="60" w:line="324" w:lineRule="auto"/>
      </w:pPr>
      <w:r>
        <w:rPr>
          <w:rFonts w:ascii="Arial" w:hAnsi="Arial" w:eastAsia="Arial"/>
          <w:b w:val="0"/>
          <w:caps w:val="0"/>
          <w:color w:val="555555"/>
          <w:sz w:val="18"/>
        </w:rPr>
        <w:t>03 / 05</w:t>
      </w:r>
    </w:p>
    <w:p>
      <w:pPr>
        <w:spacing w:before="0" w:after="300" w:line="324" w:lineRule="auto"/>
        <w:pBdr>
          <w:bottom w:val="single" w:sz="8" w:space="8" w:color="0D0D0D"/>
        </w:pBdr>
      </w:pPr>
      <w:r>
        <w:rPr>
          <w:rFonts w:ascii="Arial" w:hAnsi="Arial" w:eastAsia="Arial"/>
          <w:b/>
          <w:caps/>
          <w:color w:val="0D0D0D"/>
          <w:sz w:val="36"/>
        </w:rPr>
        <w:t>Metodología y Cronograma</w:t>
      </w:r>
    </w:p>
    <w:p>
      <w:pPr>
        <w:spacing w:before="0" w:after="160" w:line="324" w:lineRule="auto"/>
      </w:pPr>
      <w:r>
        <w:rPr>
          <w:rFonts w:ascii="Arial" w:hAnsi="Arial" w:eastAsia="Arial"/>
          <w:b w:val="0"/>
          <w:caps w:val="0"/>
          <w:color w:val="0D0D0D"/>
          <w:sz w:val="22"/>
        </w:rPr>
        <w:t>ARI CONSULTING conduce el proyecto con la metodología Oracle Cloud Implementation Methodology (OCIM), adaptada al contexto de Banco Central del Sur. Los frentes ERP y HCM se coordinarán bajo una misma gobernanza de proyecto.</w:t>
      </w:r>
    </w:p>
    <w:p>
      <w:pPr>
        <w:spacing w:before="0" w:after="40" w:line="324" w:lineRule="auto"/>
      </w:pPr>
      <w:r>
        <w:rPr>
          <w:rFonts w:ascii="Arial" w:hAnsi="Arial" w:eastAsia="Arial"/>
          <w:b/>
          <w:caps/>
          <w:color w:val="0D0D0D"/>
          <w:sz w:val="20"/>
        </w:rPr>
        <w:t xml:space="preserve">FASE 1 · DESCUBRIMIENTO   </w:t>
      </w:r>
      <w:r>
        <w:rPr>
          <w:rFonts w:ascii="Arial" w:hAnsi="Arial" w:eastAsia="Arial"/>
          <w:b w:val="0"/>
          <w:caps w:val="0"/>
          <w:color w:val="555555"/>
          <w:sz w:val="18"/>
        </w:rPr>
        <w:t>Semanas 1 a 2</w:t>
      </w:r>
    </w:p>
    <w:p>
      <w:pPr>
        <w:spacing w:before="0" w:after="160" w:line="324" w:lineRule="auto"/>
      </w:pPr>
      <w:r>
        <w:rPr>
          <w:rFonts w:ascii="Arial" w:hAnsi="Arial" w:eastAsia="Arial"/>
          <w:b w:val="0"/>
          <w:caps w:val="0"/>
          <w:color w:val="0D0D0D"/>
          <w:sz w:val="20"/>
        </w:rPr>
        <w:t>Levantamiento de requerimientos, confirmación de alcance, definición de equipo, gobierno y plan de trabajo.</w:t>
      </w:r>
    </w:p>
    <w:p>
      <w:pPr>
        <w:spacing w:before="0" w:after="40" w:line="324" w:lineRule="auto"/>
      </w:pPr>
      <w:r>
        <w:rPr>
          <w:rFonts w:ascii="Arial" w:hAnsi="Arial" w:eastAsia="Arial"/>
          <w:b/>
          <w:caps/>
          <w:color w:val="0D0D0D"/>
          <w:sz w:val="20"/>
        </w:rPr>
        <w:t xml:space="preserve">FASE 2 · DISEÑO   </w:t>
      </w:r>
      <w:r>
        <w:rPr>
          <w:rFonts w:ascii="Arial" w:hAnsi="Arial" w:eastAsia="Arial"/>
          <w:b w:val="0"/>
          <w:caps w:val="0"/>
          <w:color w:val="555555"/>
          <w:sz w:val="18"/>
        </w:rPr>
        <w:t>Semanas 3 a 4</w:t>
      </w:r>
    </w:p>
    <w:p>
      <w:pPr>
        <w:spacing w:before="0" w:after="160" w:line="324" w:lineRule="auto"/>
      </w:pPr>
      <w:r>
        <w:rPr>
          <w:rFonts w:ascii="Arial" w:hAnsi="Arial" w:eastAsia="Arial"/>
          <w:b w:val="0"/>
          <w:caps w:val="0"/>
          <w:color w:val="0D0D0D"/>
          <w:sz w:val="20"/>
        </w:rPr>
        <w:t>Diseño de procesos objetivo, parametrizaciones, modelo de datos y criterios de aceptación.</w:t>
      </w:r>
    </w:p>
    <w:p>
      <w:pPr>
        <w:spacing w:before="0" w:after="40" w:line="324" w:lineRule="auto"/>
      </w:pPr>
      <w:r>
        <w:rPr>
          <w:rFonts w:ascii="Arial" w:hAnsi="Arial" w:eastAsia="Arial"/>
          <w:b/>
          <w:caps/>
          <w:color w:val="0D0D0D"/>
          <w:sz w:val="20"/>
        </w:rPr>
        <w:t xml:space="preserve">FASE 3 · BUILD   </w:t>
      </w:r>
      <w:r>
        <w:rPr>
          <w:rFonts w:ascii="Arial" w:hAnsi="Arial" w:eastAsia="Arial"/>
          <w:b w:val="0"/>
          <w:caps w:val="0"/>
          <w:color w:val="555555"/>
          <w:sz w:val="18"/>
        </w:rPr>
        <w:t>Semanas 5 a 11</w:t>
      </w:r>
    </w:p>
    <w:p>
      <w:pPr>
        <w:spacing w:before="0" w:after="160" w:line="324" w:lineRule="auto"/>
      </w:pPr>
      <w:r>
        <w:rPr>
          <w:rFonts w:ascii="Arial" w:hAnsi="Arial" w:eastAsia="Arial"/>
          <w:b w:val="0"/>
          <w:caps w:val="0"/>
          <w:color w:val="0D0D0D"/>
          <w:sz w:val="20"/>
        </w:rPr>
        <w:t>Configuración de ERP y HCM, desarrollos autorizados, migración y documentación técnica.</w:t>
      </w:r>
    </w:p>
    <w:p>
      <w:pPr>
        <w:spacing w:before="0" w:after="40" w:line="324" w:lineRule="auto"/>
      </w:pPr>
      <w:r>
        <w:rPr>
          <w:rFonts w:ascii="Arial" w:hAnsi="Arial" w:eastAsia="Arial"/>
          <w:b/>
          <w:caps/>
          <w:color w:val="0D0D0D"/>
          <w:sz w:val="20"/>
        </w:rPr>
        <w:t xml:space="preserve">FASE 4 · PRUEBAS   </w:t>
      </w:r>
      <w:r>
        <w:rPr>
          <w:rFonts w:ascii="Arial" w:hAnsi="Arial" w:eastAsia="Arial"/>
          <w:b w:val="0"/>
          <w:caps w:val="0"/>
          <w:color w:val="555555"/>
          <w:sz w:val="18"/>
        </w:rPr>
        <w:t>Semanas 12 a 14</w:t>
      </w:r>
    </w:p>
    <w:p>
      <w:pPr>
        <w:spacing w:before="0" w:after="160" w:line="324" w:lineRule="auto"/>
      </w:pPr>
      <w:r>
        <w:rPr>
          <w:rFonts w:ascii="Arial" w:hAnsi="Arial" w:eastAsia="Arial"/>
          <w:b w:val="0"/>
          <w:caps w:val="0"/>
          <w:color w:val="0D0D0D"/>
          <w:sz w:val="20"/>
        </w:rPr>
        <w:t>Pruebas de sistema e integración, UAT con usuarios clave y corrección de desviaciones.</w:t>
      </w:r>
    </w:p>
    <w:p>
      <w:pPr>
        <w:spacing w:before="0" w:after="40" w:line="324" w:lineRule="auto"/>
      </w:pPr>
      <w:r>
        <w:rPr>
          <w:rFonts w:ascii="Arial" w:hAnsi="Arial" w:eastAsia="Arial"/>
          <w:b/>
          <w:caps/>
          <w:color w:val="0D0D0D"/>
          <w:sz w:val="20"/>
        </w:rPr>
        <w:t xml:space="preserve">FASE 5 · GO-LIVE   </w:t>
      </w:r>
      <w:r>
        <w:rPr>
          <w:rFonts w:ascii="Arial" w:hAnsi="Arial" w:eastAsia="Arial"/>
          <w:b w:val="0"/>
          <w:caps w:val="0"/>
          <w:color w:val="555555"/>
          <w:sz w:val="18"/>
        </w:rPr>
        <w:t>Semana 15</w:t>
      </w:r>
    </w:p>
    <w:p>
      <w:pPr>
        <w:spacing w:before="0" w:after="160" w:line="324" w:lineRule="auto"/>
      </w:pPr>
      <w:r>
        <w:rPr>
          <w:rFonts w:ascii="Arial" w:hAnsi="Arial" w:eastAsia="Arial"/>
          <w:b w:val="0"/>
          <w:caps w:val="0"/>
          <w:color w:val="0D0D0D"/>
          <w:sz w:val="20"/>
        </w:rPr>
        <w:t>Corte controlado, activación en producción y acompañamiento intensivo de salida.</w:t>
      </w:r>
    </w:p>
    <w:p>
      <w:pPr>
        <w:spacing w:before="0" w:after="40" w:line="324" w:lineRule="auto"/>
      </w:pPr>
      <w:r>
        <w:rPr>
          <w:rFonts w:ascii="Arial" w:hAnsi="Arial" w:eastAsia="Arial"/>
          <w:b/>
          <w:caps/>
          <w:color w:val="0D0D0D"/>
          <w:sz w:val="20"/>
        </w:rPr>
        <w:t xml:space="preserve">FASE 6 · HIPERESCALADA   </w:t>
      </w:r>
      <w:r>
        <w:rPr>
          <w:rFonts w:ascii="Arial" w:hAnsi="Arial" w:eastAsia="Arial"/>
          <w:b w:val="0"/>
          <w:caps w:val="0"/>
          <w:color w:val="555555"/>
          <w:sz w:val="18"/>
        </w:rPr>
        <w:t>Semanas 16 a 17</w:t>
      </w:r>
    </w:p>
    <w:p>
      <w:pPr>
        <w:spacing w:before="0" w:after="160" w:line="324" w:lineRule="auto"/>
      </w:pPr>
      <w:r>
        <w:rPr>
          <w:rFonts w:ascii="Arial" w:hAnsi="Arial" w:eastAsia="Arial"/>
          <w:b w:val="0"/>
          <w:caps w:val="0"/>
          <w:color w:val="0D0D0D"/>
          <w:sz w:val="20"/>
        </w:rPr>
        <w:t>Estabilización, ajustes finos, transferencia operativa y cierre formal.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c>
          <w:tcPr>
            <w:tcW w:type="dxa" w:w="2381"/>
            <w:shd w:fill="F9F9F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555555"/>
                <w:sz w:val="16"/>
              </w:rPr>
              <w:t>FECHA DE INICIO ESTIMADA</w:t>
            </w:r>
          </w:p>
        </w:tc>
        <w:tc>
          <w:tcPr>
            <w:tcW w:type="dxa" w:w="6690"/>
            <w:shd w:fill="F9F9F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D0D0D"/>
                <w:sz w:val="18"/>
              </w:rPr>
              <w:t>15 de octubre de 2026</w:t>
            </w:r>
          </w:p>
        </w:tc>
      </w:tr>
      <w:tr>
        <w:tc>
          <w:tcPr>
            <w:tcW w:type="dxa" w:w="2381"/>
            <w:shd w:fill="F9F9F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555555"/>
                <w:sz w:val="16"/>
              </w:rPr>
              <w:t>FECHA ESTIMADA DE GO-LIVE</w:t>
            </w:r>
          </w:p>
        </w:tc>
        <w:tc>
          <w:tcPr>
            <w:tcW w:type="dxa" w:w="6690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D0D0D"/>
                <w:sz w:val="18"/>
              </w:rPr>
              <w:t>21 de enero de 2027</w:t>
            </w:r>
          </w:p>
        </w:tc>
      </w:tr>
      <w:tr>
        <w:tc>
          <w:tcPr>
            <w:tcW w:type="dxa" w:w="2381"/>
            <w:shd w:fill="F9F9F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555555"/>
                <w:sz w:val="16"/>
              </w:rPr>
              <w:t>DURACIÓN TOTAL</w:t>
            </w:r>
          </w:p>
        </w:tc>
        <w:tc>
          <w:tcPr>
            <w:tcW w:type="dxa" w:w="6690"/>
            <w:shd w:fill="F9F9F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D0D0D"/>
                <w:sz w:val="18"/>
              </w:rPr>
              <w:t>90 a 120 días naturales</w:t>
            </w:r>
          </w:p>
        </w:tc>
      </w:tr>
    </w:tbl>
    <w:p>
      <w:r>
        <w:br w:type="page"/>
      </w:r>
    </w:p>
    <w:p>
      <w:pPr>
        <w:spacing w:before="0" w:after="60" w:line="324" w:lineRule="auto"/>
      </w:pPr>
      <w:r>
        <w:rPr>
          <w:rFonts w:ascii="Arial" w:hAnsi="Arial" w:eastAsia="Arial"/>
          <w:b w:val="0"/>
          <w:caps w:val="0"/>
          <w:color w:val="555555"/>
          <w:sz w:val="18"/>
        </w:rPr>
        <w:t>04 / 05</w:t>
      </w:r>
    </w:p>
    <w:p>
      <w:pPr>
        <w:spacing w:before="0" w:after="300" w:line="324" w:lineRule="auto"/>
        <w:pBdr>
          <w:bottom w:val="single" w:sz="8" w:space="8" w:color="0D0D0D"/>
        </w:pBdr>
      </w:pPr>
      <w:r>
        <w:rPr>
          <w:rFonts w:ascii="Arial" w:hAnsi="Arial" w:eastAsia="Arial"/>
          <w:b/>
          <w:caps/>
          <w:color w:val="0D0D0D"/>
          <w:sz w:val="36"/>
        </w:rPr>
        <w:t>Inversión</w:t>
      </w:r>
    </w:p>
    <w:p>
      <w:pPr>
        <w:spacing w:before="0" w:after="160" w:line="324" w:lineRule="auto"/>
      </w:pPr>
      <w:r>
        <w:rPr>
          <w:rFonts w:ascii="Arial" w:hAnsi="Arial" w:eastAsia="Arial"/>
          <w:b w:val="0"/>
          <w:caps w:val="0"/>
          <w:color w:val="0D0D0D"/>
          <w:sz w:val="22"/>
        </w:rPr>
        <w:t>La inversión consolidada contempla la implementación coordinada de Oracle ERP Cloud (Financials) y Oracle HCM Cloud para el alcance definido. El descuento se aplica por la contratación combinada de ambos servicios.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4"/>
        <w:gridCol w:w="3024"/>
        <w:gridCol w:w="3024"/>
      </w:tblGrid>
      <w:tr>
        <w:tc>
          <w:tcPr>
            <w:tcW w:type="dxa" w:w="4649"/>
            <w:shd w:fill="0D0D0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1701"/>
            <w:shd w:fill="0D0D0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PLAZO</w:t>
            </w:r>
          </w:p>
        </w:tc>
        <w:tc>
          <w:tcPr>
            <w:tcW w:type="dxa" w:w="2721"/>
            <w:shd w:fill="0D0D0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INVERSIÓN</w:t>
            </w:r>
          </w:p>
        </w:tc>
      </w:tr>
      <w:tr>
        <w:tc>
          <w:tcPr>
            <w:tcW w:type="dxa" w:w="4649"/>
            <w:shd w:fill="F9F9F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D0D0D"/>
                <w:sz w:val="18"/>
              </w:rPr>
              <w:t>Implementación Oracle ERP Cloud (Financials)</w:t>
            </w:r>
          </w:p>
        </w:tc>
        <w:tc>
          <w:tcPr>
            <w:tcW w:type="dxa" w:w="1701"/>
            <w:shd w:fill="F9F9F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D0D0D"/>
                <w:sz w:val="18"/>
              </w:rPr>
              <w:t>90 a 120 días</w:t>
            </w:r>
          </w:p>
        </w:tc>
        <w:tc>
          <w:tcPr>
            <w:tcW w:type="dxa" w:w="2721"/>
            <w:shd w:fill="F9F9F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color w:val="0D0D0D"/>
                <w:sz w:val="18"/>
              </w:rPr>
              <w:t>$1,100,000 MXN</w:t>
            </w:r>
          </w:p>
        </w:tc>
      </w:tr>
      <w:tr>
        <w:tc>
          <w:tcPr>
            <w:tcW w:type="dxa" w:w="4649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D0D0D"/>
                <w:sz w:val="18"/>
              </w:rPr>
              <w:t>Implementación Oracle HCM Cloud</w:t>
            </w:r>
          </w:p>
        </w:tc>
        <w:tc>
          <w:tcPr>
            <w:tcW w:type="dxa" w:w="1701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color w:val="0D0D0D"/>
                <w:sz w:val="18"/>
              </w:rPr>
              <w:t>60 a 90 días</w:t>
            </w:r>
          </w:p>
        </w:tc>
        <w:tc>
          <w:tcPr>
            <w:tcW w:type="dxa" w:w="2721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 w:val="0"/>
                <w:color w:val="0D0D0D"/>
                <w:sz w:val="18"/>
              </w:rPr>
              <w:t>$780,000 MXN</w:t>
            </w:r>
          </w:p>
        </w:tc>
      </w:tr>
      <w:tr>
        <w:tc>
          <w:tcPr>
            <w:tcW w:type="dxa" w:w="4649"/>
            <w:shd w:fill="F9F9F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0D0D0D"/>
                <w:sz w:val="18"/>
              </w:rPr>
              <w:t>Subtotal de servicios</w:t>
            </w:r>
          </w:p>
        </w:tc>
        <w:tc>
          <w:tcPr>
            <w:tcW w:type="dxa" w:w="1701"/>
            <w:shd w:fill="F9F9F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0D0D0D"/>
                <w:sz w:val="18"/>
              </w:rPr>
            </w:r>
          </w:p>
        </w:tc>
        <w:tc>
          <w:tcPr>
            <w:tcW w:type="dxa" w:w="2721"/>
            <w:shd w:fill="F9F9F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0D0D0D"/>
                <w:sz w:val="18"/>
              </w:rPr>
              <w:t>$1,880,000 MXN</w:t>
            </w:r>
          </w:p>
        </w:tc>
      </w:tr>
      <w:tr>
        <w:tc>
          <w:tcPr>
            <w:tcW w:type="dxa" w:w="4649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i/>
              </w:rPr>
            </w:r>
            <w:r>
              <w:rPr>
                <w:rFonts w:ascii="Arial" w:hAnsi="Arial" w:eastAsia="Arial"/>
                <w:b w:val="0"/>
                <w:color w:val="0D0D0D"/>
                <w:sz w:val="18"/>
              </w:rPr>
              <w:t>Descuento por combinación de servicios (12%)</w:t>
            </w:r>
          </w:p>
        </w:tc>
        <w:tc>
          <w:tcPr>
            <w:tcW w:type="dxa" w:w="1701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i/>
              </w:rPr>
            </w:r>
            <w:r>
              <w:rPr>
                <w:rFonts w:ascii="Arial" w:hAnsi="Arial" w:eastAsia="Arial"/>
                <w:b w:val="0"/>
                <w:color w:val="0D0D0D"/>
                <w:sz w:val="18"/>
              </w:rPr>
            </w:r>
          </w:p>
        </w:tc>
        <w:tc>
          <w:tcPr>
            <w:tcW w:type="dxa" w:w="2721"/>
            <w:shd w:fill="FFFFFF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right"/>
            </w:pPr>
            <w:r>
              <w:rPr>
                <w:i/>
              </w:rPr>
            </w:r>
            <w:r>
              <w:rPr>
                <w:rFonts w:ascii="Arial" w:hAnsi="Arial" w:eastAsia="Arial"/>
                <w:b w:val="0"/>
                <w:color w:val="0D0D0D"/>
                <w:sz w:val="18"/>
              </w:rPr>
              <w:t>– $225,600 MXN</w:t>
            </w:r>
          </w:p>
        </w:tc>
      </w:tr>
      <w:tr>
        <w:tc>
          <w:tcPr>
            <w:tcW w:type="dxa" w:w="4649"/>
            <w:shd w:fill="0D0D0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TOTAL CON DESCUENTO</w:t>
            </w:r>
          </w:p>
        </w:tc>
        <w:tc>
          <w:tcPr>
            <w:tcW w:type="dxa" w:w="1701"/>
            <w:shd w:fill="0D0D0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</w:r>
          </w:p>
        </w:tc>
        <w:tc>
          <w:tcPr>
            <w:tcW w:type="dxa" w:w="2721"/>
            <w:shd w:fill="0D0D0D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$1,654,400 MXN</w:t>
            </w:r>
          </w:p>
        </w:tc>
      </w:tr>
    </w:tbl>
    <w:p>
      <w:pPr>
        <w:spacing w:before="180" w:after="80" w:line="324" w:lineRule="auto"/>
      </w:pPr>
      <w:r>
        <w:rPr>
          <w:rFonts w:ascii="Arial" w:hAnsi="Arial" w:eastAsia="Arial"/>
          <w:b/>
          <w:caps/>
          <w:color w:val="555555"/>
          <w:sz w:val="18"/>
        </w:rPr>
        <w:t>Condiciones de pago</w:t>
      </w:r>
    </w:p>
    <w:p>
      <w:pPr>
        <w:spacing w:before="0" w:after="60" w:line="324" w:lineRule="auto"/>
      </w:pPr>
      <w:r>
        <w:rPr>
          <w:rFonts w:ascii="Arial" w:hAnsi="Arial" w:eastAsia="Arial"/>
          <w:b w:val="0"/>
          <w:caps w:val="0"/>
          <w:color w:val="555555"/>
          <w:sz w:val="18"/>
        </w:rPr>
        <w:t>30% a la firma del contrato    $496,320 MXN</w:t>
      </w:r>
    </w:p>
    <w:p>
      <w:pPr>
        <w:spacing w:before="0" w:after="60" w:line="324" w:lineRule="auto"/>
      </w:pPr>
      <w:r>
        <w:rPr>
          <w:rFonts w:ascii="Arial" w:hAnsi="Arial" w:eastAsia="Arial"/>
          <w:b w:val="0"/>
          <w:caps w:val="0"/>
          <w:color w:val="555555"/>
          <w:sz w:val="18"/>
        </w:rPr>
        <w:t>40% al concluir la Fase de Build    $661,760 MXN</w:t>
      </w:r>
    </w:p>
    <w:p>
      <w:pPr>
        <w:spacing w:before="0" w:after="200" w:line="324" w:lineRule="auto"/>
      </w:pPr>
      <w:r>
        <w:rPr>
          <w:rFonts w:ascii="Arial" w:hAnsi="Arial" w:eastAsia="Arial"/>
          <w:b w:val="0"/>
          <w:caps w:val="0"/>
          <w:color w:val="555555"/>
          <w:sz w:val="18"/>
        </w:rPr>
        <w:t>30% en el Go-Live confirmado    $496,320 MXN</w:t>
      </w:r>
    </w:p>
    <w:p>
      <w:pPr>
        <w:spacing w:before="0" w:after="60" w:line="324" w:lineRule="auto"/>
      </w:pPr>
      <w:r>
        <w:rPr>
          <w:rFonts w:ascii="Arial" w:hAnsi="Arial" w:eastAsia="Arial"/>
          <w:b w:val="0"/>
          <w:caps w:val="0"/>
          <w:color w:val="555555"/>
          <w:sz w:val="18"/>
        </w:rPr>
        <w:t>Vigencia de esta propuesta: 30 días naturales a partir de la emisión.</w:t>
      </w:r>
    </w:p>
    <w:p>
      <w:pPr>
        <w:spacing w:before="0" w:after="60" w:line="324" w:lineRule="auto"/>
      </w:pPr>
      <w:r>
        <w:rPr>
          <w:rFonts w:ascii="Arial" w:hAnsi="Arial" w:eastAsia="Arial"/>
          <w:b w:val="0"/>
          <w:caps w:val="0"/>
          <w:color w:val="555555"/>
          <w:sz w:val="18"/>
        </w:rPr>
        <w:t>Valores en pesos mexicanos (MXN). No incluyen impuestos (IVA 16%).</w:t>
      </w:r>
    </w:p>
    <w:p>
      <w:r>
        <w:br w:type="page"/>
      </w:r>
    </w:p>
    <w:p>
      <w:pPr>
        <w:spacing w:before="0" w:after="60" w:line="324" w:lineRule="auto"/>
      </w:pPr>
      <w:r>
        <w:rPr>
          <w:rFonts w:ascii="Arial" w:hAnsi="Arial" w:eastAsia="Arial"/>
          <w:b w:val="0"/>
          <w:caps w:val="0"/>
          <w:color w:val="555555"/>
          <w:sz w:val="18"/>
        </w:rPr>
        <w:t>05 / 05</w:t>
      </w:r>
    </w:p>
    <w:p>
      <w:pPr>
        <w:spacing w:before="0" w:after="300" w:line="324" w:lineRule="auto"/>
        <w:pBdr>
          <w:bottom w:val="single" w:sz="8" w:space="8" w:color="0D0D0D"/>
        </w:pBdr>
      </w:pPr>
      <w:r>
        <w:rPr>
          <w:rFonts w:ascii="Arial" w:hAnsi="Arial" w:eastAsia="Arial"/>
          <w:b/>
          <w:caps/>
          <w:color w:val="0D0D0D"/>
          <w:sz w:val="36"/>
        </w:rPr>
        <w:t>Próximos Pasos</w:t>
      </w:r>
    </w:p>
    <w:p>
      <w:pPr>
        <w:spacing w:before="0" w:after="160" w:line="324" w:lineRule="auto"/>
      </w:pPr>
      <w:r>
        <w:rPr>
          <w:rFonts w:ascii="Arial" w:hAnsi="Arial" w:eastAsia="Arial"/>
          <w:b w:val="0"/>
          <w:caps w:val="0"/>
          <w:color w:val="0D0D0D"/>
          <w:sz w:val="22"/>
        </w:rPr>
        <w:t>Para avanzar con el proyecto, proponemos los siguientes pasos:</w:t>
      </w:r>
    </w:p>
    <w:p>
      <w:pPr>
        <w:spacing w:before="0" w:after="160" w:line="324" w:lineRule="auto"/>
      </w:pPr>
      <w:r>
        <w:rPr>
          <w:rFonts w:ascii="Arial" w:hAnsi="Arial" w:eastAsia="Arial"/>
          <w:b/>
          <w:caps w:val="0"/>
          <w:color w:val="0D0D0D"/>
          <w:sz w:val="22"/>
        </w:rPr>
        <w:t xml:space="preserve">01  </w:t>
      </w:r>
      <w:r>
        <w:rPr>
          <w:rFonts w:ascii="Arial" w:hAnsi="Arial" w:eastAsia="Arial"/>
          <w:b w:val="0"/>
          <w:caps w:val="0"/>
          <w:color w:val="0D0D0D"/>
          <w:sz w:val="22"/>
        </w:rPr>
        <w:t>Revisión y aprobación interna de esta propuesta por Banco Central del Sur.</w:t>
      </w:r>
    </w:p>
    <w:p>
      <w:pPr>
        <w:spacing w:before="0" w:after="160" w:line="324" w:lineRule="auto"/>
      </w:pPr>
      <w:r>
        <w:rPr>
          <w:rFonts w:ascii="Arial" w:hAnsi="Arial" w:eastAsia="Arial"/>
          <w:b/>
          <w:caps w:val="0"/>
          <w:color w:val="0D0D0D"/>
          <w:sz w:val="22"/>
        </w:rPr>
        <w:t xml:space="preserve">02  </w:t>
      </w:r>
      <w:r>
        <w:rPr>
          <w:rFonts w:ascii="Arial" w:hAnsi="Arial" w:eastAsia="Arial"/>
          <w:b w:val="0"/>
          <w:caps w:val="0"/>
          <w:color w:val="0D0D0D"/>
          <w:sz w:val="22"/>
        </w:rPr>
        <w:t>Reunión de alineación técnico-ejecutiva de 30 minutos con el consultor responsable.</w:t>
      </w:r>
    </w:p>
    <w:p>
      <w:pPr>
        <w:spacing w:before="0" w:after="160" w:line="324" w:lineRule="auto"/>
      </w:pPr>
      <w:r>
        <w:rPr>
          <w:rFonts w:ascii="Arial" w:hAnsi="Arial" w:eastAsia="Arial"/>
          <w:b/>
          <w:caps w:val="0"/>
          <w:color w:val="0D0D0D"/>
          <w:sz w:val="22"/>
        </w:rPr>
        <w:t xml:space="preserve">03  </w:t>
      </w:r>
      <w:r>
        <w:rPr>
          <w:rFonts w:ascii="Arial" w:hAnsi="Arial" w:eastAsia="Arial"/>
          <w:b w:val="0"/>
          <w:caps w:val="0"/>
          <w:color w:val="0D0D0D"/>
          <w:sz w:val="22"/>
        </w:rPr>
        <w:t>Firma del contrato y orden de servicio.</w:t>
      </w:r>
    </w:p>
    <w:p>
      <w:pPr>
        <w:spacing w:before="0" w:after="160" w:line="324" w:lineRule="auto"/>
      </w:pPr>
      <w:r>
        <w:rPr>
          <w:rFonts w:ascii="Arial" w:hAnsi="Arial" w:eastAsia="Arial"/>
          <w:b/>
          <w:caps w:val="0"/>
          <w:color w:val="0D0D0D"/>
          <w:sz w:val="22"/>
        </w:rPr>
        <w:t xml:space="preserve">04  </w:t>
      </w:r>
      <w:r>
        <w:rPr>
          <w:rFonts w:ascii="Arial" w:hAnsi="Arial" w:eastAsia="Arial"/>
          <w:b w:val="0"/>
          <w:caps w:val="0"/>
          <w:color w:val="0D0D0D"/>
          <w:sz w:val="22"/>
        </w:rPr>
        <w:t>Kickoff oficial del proyecto, hasta 10 días después de la firma.</w:t>
      </w:r>
    </w:p>
    <w:p>
      <w:pPr>
        <w:spacing w:before="360" w:after="680" w:line="324" w:lineRule="auto"/>
      </w:pPr>
      <w:r>
        <w:rPr>
          <w:rFonts w:ascii="Arial" w:hAnsi="Arial" w:eastAsia="Arial"/>
          <w:b/>
          <w:caps w:val="0"/>
          <w:color w:val="0D0D0D"/>
          <w:sz w:val="24"/>
        </w:rPr>
        <w:t>Para coordinar la reunión de alineación, comuníquese con Eric en eric@ariconsulting.com.mx →</w:t>
      </w:r>
    </w:p>
    <w:p>
      <w:pPr>
        <w:spacing w:before="0" w:after="160" w:line="324" w:lineRule="auto"/>
        <w:pBdr>
          <w:bottom w:val="single" w:sz="8" w:space="8" w:color="0D0D0D"/>
        </w:pBdr>
      </w:pPr>
      <w:r>
        <w:rPr>
          <w:rFonts w:ascii="Arial" w:hAnsi="Arial" w:eastAsia="Arial"/>
          <w:b w:val="0"/>
          <w:caps w:val="0"/>
          <w:color w:val="0D0D0D"/>
          <w:sz w:val="22"/>
        </w:rPr>
      </w:r>
    </w:p>
    <w:p>
      <w:pPr>
        <w:spacing w:before="0" w:after="40" w:line="324" w:lineRule="auto"/>
      </w:pPr>
      <w:r>
        <w:rPr>
          <w:rFonts w:ascii="Arial" w:hAnsi="Arial" w:eastAsia="Arial"/>
          <w:b/>
          <w:caps w:val="0"/>
          <w:color w:val="0D0D0D"/>
          <w:sz w:val="20"/>
        </w:rPr>
        <w:t>Eric</w:t>
      </w:r>
    </w:p>
    <w:p>
      <w:pPr>
        <w:spacing w:before="0" w:after="40" w:line="324" w:lineRule="auto"/>
      </w:pPr>
      <w:r>
        <w:rPr>
          <w:rFonts w:ascii="Arial" w:hAnsi="Arial" w:eastAsia="Arial"/>
          <w:b w:val="0"/>
          <w:caps w:val="0"/>
          <w:color w:val="0D0D0D"/>
          <w:sz w:val="20"/>
        </w:rPr>
        <w:t>Consultor responsable</w:t>
      </w:r>
    </w:p>
    <w:p>
      <w:pPr>
        <w:spacing w:before="0" w:after="40" w:line="324" w:lineRule="auto"/>
      </w:pPr>
      <w:r>
        <w:rPr>
          <w:rFonts w:ascii="Arial" w:hAnsi="Arial" w:eastAsia="Arial"/>
          <w:b/>
          <w:caps w:val="0"/>
          <w:color w:val="0D0D0D"/>
          <w:sz w:val="20"/>
        </w:rPr>
        <w:t>ARI CONSULTING</w:t>
      </w:r>
    </w:p>
    <w:p>
      <w:pPr>
        <w:spacing w:before="0" w:after="40" w:line="324" w:lineRule="auto"/>
      </w:pPr>
      <w:r>
        <w:rPr>
          <w:rFonts w:ascii="Arial" w:hAnsi="Arial" w:eastAsia="Arial"/>
          <w:b w:val="0"/>
          <w:caps w:val="0"/>
          <w:color w:val="0D0D0D"/>
          <w:sz w:val="20"/>
        </w:rPr>
        <w:t>Ciudad de México</w:t>
      </w:r>
    </w:p>
    <w:p>
      <w:pPr>
        <w:spacing w:before="0" w:after="0" w:line="324" w:lineRule="auto"/>
      </w:pPr>
      <w:r>
        <w:rPr>
          <w:rFonts w:ascii="Arial" w:hAnsi="Arial" w:eastAsia="Arial"/>
          <w:b w:val="0"/>
          <w:caps w:val="0"/>
          <w:color w:val="555555"/>
          <w:sz w:val="20"/>
        </w:rPr>
        <w:t>eric@ariconsulting.com.mx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Comercial Banco Central del Sur</dc:title>
  <dc:subject>Implementación Oracle ERP Cloud y HCM Cloud</dc:subject>
  <dc:creator>ARI CONSULTING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