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312" w:lineRule="auto"/>
        <w:jc w:val="left"/>
      </w:pPr>
      <w:r>
        <w:rPr>
          <w:rFonts w:ascii="Arial" w:hAnsi="Arial"/>
          <w:b/>
          <w:i w:val="0"/>
          <w:caps w:val="0"/>
          <w:color w:val="0D0D0D"/>
          <w:sz w:val="26"/>
        </w:rPr>
        <w:t>ARI CONSULTING</w:t>
      </w:r>
    </w:p>
    <w:p>
      <w:pPr>
        <w:keepNext w:val="0"/>
        <w:spacing w:before="0" w:after="800" w:line="312" w:lineRule="auto"/>
        <w:jc w:val="left"/>
      </w:pPr>
      <w:r>
        <w:rPr>
          <w:rFonts w:ascii="Arial" w:hAnsi="Arial"/>
          <w:b w:val="0"/>
          <w:i w:val="0"/>
          <w:caps w:val="0"/>
          <w:color w:val="555555"/>
          <w:sz w:val="18"/>
        </w:rPr>
        <w:t>Consultoría Oracle · Ciudad de México</w:t>
      </w:r>
    </w:p>
    <w:p>
      <w:pPr>
        <w:spacing w:after="320"/>
        <w:shd w:fill="0D0D0D"/>
      </w:pPr>
      <w:r>
        <w:rPr>
          <w:rFonts w:ascii="Arial" w:hAnsi="Arial"/>
          <w:b/>
          <w:i w:val="0"/>
          <w:caps/>
          <w:color w:val="FFFFFF"/>
          <w:sz w:val="18"/>
        </w:rPr>
        <w:t>ORACLE CLOUD · CONSULTORÍA BUSINESS</w:t>
      </w:r>
    </w:p>
    <w:p>
      <w:pPr>
        <w:keepNext w:val="0"/>
        <w:spacing w:before="0" w:after="500" w:line="312" w:lineRule="auto"/>
        <w:jc w:val="left"/>
      </w:pPr>
      <w:r>
        <w:rPr>
          <w:rFonts w:ascii="Arial" w:hAnsi="Arial"/>
          <w:b/>
          <w:i w:val="0"/>
          <w:caps/>
          <w:color w:val="0D0D0D"/>
          <w:sz w:val="56"/>
        </w:rPr>
        <w:t>PROPUESTA COMERCIAL</w:t>
      </w:r>
    </w:p>
    <w:p>
      <w:pPr>
        <w:keepNext w:val="0"/>
        <w:spacing w:before="0" w:after="440" w:line="312" w:lineRule="auto"/>
        <w:jc w:val="left"/>
      </w:pPr>
      <w:r>
        <w:rPr>
          <w:rFonts w:ascii="Arial" w:hAnsi="Arial"/>
          <w:b/>
          <w:i w:val="0"/>
          <w:caps w:val="0"/>
          <w:color w:val="0D0D0D"/>
          <w:sz w:val="52"/>
        </w:rPr>
        <w:t>VETRIA EMPAQUES INDUSTRIALES</w:t>
      </w:r>
    </w:p>
    <w:p>
      <w:pPr>
        <w:spacing w:after="120"/>
      </w:pPr>
      <w:r>
        <w:rPr>
          <w:rFonts w:ascii="Arial" w:hAnsi="Arial"/>
          <w:b/>
          <w:i w:val="0"/>
          <w:caps/>
          <w:color w:val="555555"/>
          <w:sz w:val="17"/>
        </w:rPr>
        <w:t>NÚMERO DE PROPUESTA</w:t>
        <w:br/>
      </w:r>
      <w:r>
        <w:rPr>
          <w:rFonts w:ascii="Arial" w:hAnsi="Arial"/>
          <w:b w:val="0"/>
          <w:i w:val="0"/>
          <w:caps w:val="0"/>
          <w:color w:val="0D0D0D"/>
          <w:sz w:val="20"/>
        </w:rPr>
        <w:t>982/2026</w:t>
      </w:r>
    </w:p>
    <w:p>
      <w:pPr>
        <w:spacing w:after="120"/>
      </w:pPr>
      <w:r>
        <w:rPr>
          <w:rFonts w:ascii="Arial" w:hAnsi="Arial"/>
          <w:b/>
          <w:i w:val="0"/>
          <w:caps/>
          <w:color w:val="555555"/>
          <w:sz w:val="17"/>
        </w:rPr>
        <w:t>FECHA DE EMISIÓN</w:t>
        <w:br/>
      </w:r>
      <w:r>
        <w:rPr>
          <w:rFonts w:ascii="Arial" w:hAnsi="Arial"/>
          <w:b w:val="0"/>
          <w:i w:val="0"/>
          <w:caps w:val="0"/>
          <w:color w:val="0D0D0D"/>
          <w:sz w:val="20"/>
        </w:rPr>
        <w:t>08/10/2026</w:t>
      </w:r>
    </w:p>
    <w:p>
      <w:pPr>
        <w:spacing w:after="120"/>
      </w:pPr>
      <w:r>
        <w:rPr>
          <w:rFonts w:ascii="Arial" w:hAnsi="Arial"/>
          <w:b/>
          <w:i w:val="0"/>
          <w:caps/>
          <w:color w:val="555555"/>
          <w:sz w:val="17"/>
        </w:rPr>
        <w:t>VÁLIDA HASTA</w:t>
        <w:br/>
      </w:r>
      <w:r>
        <w:rPr>
          <w:rFonts w:ascii="Arial" w:hAnsi="Arial"/>
          <w:b w:val="0"/>
          <w:i w:val="0"/>
          <w:caps w:val="0"/>
          <w:color w:val="0D0D0D"/>
          <w:sz w:val="20"/>
        </w:rPr>
        <w:t>07/11/2026 — 30 días naturales</w:t>
      </w:r>
    </w:p>
    <w:p>
      <w:pPr>
        <w:spacing w:after="120"/>
      </w:pPr>
      <w:r>
        <w:rPr>
          <w:rFonts w:ascii="Arial" w:hAnsi="Arial"/>
          <w:b/>
          <w:i w:val="0"/>
          <w:caps/>
          <w:color w:val="555555"/>
          <w:sz w:val="17"/>
        </w:rPr>
        <w:t>EMPRESA</w:t>
        <w:br/>
      </w:r>
      <w:r>
        <w:rPr>
          <w:rFonts w:ascii="Arial" w:hAnsi="Arial"/>
          <w:b w:val="0"/>
          <w:i w:val="0"/>
          <w:caps w:val="0"/>
          <w:color w:val="0D0D0D"/>
          <w:sz w:val="20"/>
        </w:rPr>
        <w:t>Vetria Empaques Industriales S.A. de C.V.</w:t>
      </w:r>
    </w:p>
    <w:p>
      <w:pPr>
        <w:spacing w:after="120"/>
      </w:pPr>
      <w:r>
        <w:rPr>
          <w:rFonts w:ascii="Arial" w:hAnsi="Arial"/>
          <w:b/>
          <w:i w:val="0"/>
          <w:caps/>
          <w:color w:val="555555"/>
          <w:sz w:val="17"/>
        </w:rPr>
        <w:t>RFC</w:t>
        <w:br/>
      </w:r>
      <w:r>
        <w:rPr>
          <w:rFonts w:ascii="Arial" w:hAnsi="Arial"/>
          <w:b w:val="0"/>
          <w:i w:val="0"/>
          <w:caps w:val="0"/>
          <w:color w:val="0D0D0D"/>
          <w:sz w:val="20"/>
        </w:rPr>
        <w:t>VEI-900101-XYZ</w:t>
      </w:r>
    </w:p>
    <w:p>
      <w:pPr>
        <w:spacing w:after="120"/>
      </w:pPr>
      <w:r>
        <w:rPr>
          <w:rFonts w:ascii="Arial" w:hAnsi="Arial"/>
          <w:b/>
          <w:i w:val="0"/>
          <w:caps/>
          <w:color w:val="555555"/>
          <w:sz w:val="17"/>
        </w:rPr>
        <w:t>SECTOR</w:t>
        <w:br/>
      </w:r>
      <w:r>
        <w:rPr>
          <w:rFonts w:ascii="Arial" w:hAnsi="Arial"/>
          <w:b w:val="0"/>
          <w:i w:val="0"/>
          <w:caps w:val="0"/>
          <w:color w:val="0D0D0D"/>
          <w:sz w:val="20"/>
        </w:rPr>
        <w:t>Industria — Empaques plásticos y flexibles</w:t>
      </w:r>
    </w:p>
    <w:p>
      <w:pPr>
        <w:spacing w:after="120"/>
      </w:pPr>
      <w:r>
        <w:rPr>
          <w:rFonts w:ascii="Arial" w:hAnsi="Arial"/>
          <w:b/>
          <w:i w:val="0"/>
          <w:caps/>
          <w:color w:val="555555"/>
          <w:sz w:val="17"/>
        </w:rPr>
        <w:t>CONTACTO PRINCIPAL</w:t>
        <w:br/>
      </w:r>
      <w:r>
        <w:rPr>
          <w:rFonts w:ascii="Arial" w:hAnsi="Arial"/>
          <w:b w:val="0"/>
          <w:i w:val="0"/>
          <w:caps w:val="0"/>
          <w:color w:val="0D0D0D"/>
          <w:sz w:val="20"/>
        </w:rPr>
        <w:t>Vinicius, CIO</w:t>
      </w:r>
    </w:p>
    <w:p>
      <w:pPr>
        <w:spacing w:after="120"/>
      </w:pPr>
      <w:r>
        <w:rPr>
          <w:rFonts w:ascii="Arial" w:hAnsi="Arial"/>
          <w:b/>
          <w:i w:val="0"/>
          <w:caps/>
          <w:color w:val="555555"/>
          <w:sz w:val="17"/>
        </w:rPr>
        <w:t>EMAIL</w:t>
        <w:br/>
      </w:r>
      <w:r>
        <w:rPr>
          <w:rFonts w:ascii="Arial" w:hAnsi="Arial"/>
          <w:b w:val="0"/>
          <w:i w:val="0"/>
          <w:caps w:val="0"/>
          <w:color w:val="0D0D0D"/>
          <w:sz w:val="20"/>
        </w:rPr>
        <w:t>vinicius@vetria.com.mx</w:t>
      </w:r>
    </w:p>
    <w:p>
      <w:pPr>
        <w:spacing w:after="120"/>
      </w:pPr>
      <w:r>
        <w:rPr>
          <w:rFonts w:ascii="Arial" w:hAnsi="Arial"/>
          <w:b/>
          <w:i w:val="0"/>
          <w:caps/>
          <w:color w:val="555555"/>
          <w:sz w:val="17"/>
        </w:rPr>
        <w:t>CONSULTOR RESPONSABLE</w:t>
        <w:br/>
      </w:r>
      <w:r>
        <w:rPr>
          <w:rFonts w:ascii="Arial" w:hAnsi="Arial"/>
          <w:b w:val="0"/>
          <w:i w:val="0"/>
          <w:caps w:val="0"/>
          <w:color w:val="0D0D0D"/>
          <w:sz w:val="20"/>
        </w:rPr>
        <w:t>Leon</w:t>
      </w:r>
    </w:p>
    <w:p>
      <w:pPr>
        <w:spacing w:after="120"/>
      </w:pPr>
      <w:r>
        <w:rPr>
          <w:rFonts w:ascii="Arial" w:hAnsi="Arial"/>
          <w:b/>
          <w:i w:val="0"/>
          <w:caps/>
          <w:color w:val="555555"/>
          <w:sz w:val="17"/>
        </w:rPr>
        <w:t>EMAIL</w:t>
        <w:br/>
      </w:r>
      <w:r>
        <w:rPr>
          <w:rFonts w:ascii="Arial" w:hAnsi="Arial"/>
          <w:b w:val="0"/>
          <w:i w:val="0"/>
          <w:caps w:val="0"/>
          <w:color w:val="0D0D0D"/>
          <w:sz w:val="20"/>
        </w:rPr>
        <w:t>leon@ariconsulting.com.mx</w:t>
      </w:r>
    </w:p>
    <w:p>
      <w:r>
        <w:br w:type="page"/>
      </w:r>
    </w:p>
    <w:p>
      <w:pPr>
        <w:keepNext/>
        <w:spacing w:before="0" w:after="40" w:line="312" w:lineRule="auto"/>
        <w:jc w:val="left"/>
      </w:pPr>
      <w:r>
        <w:rPr>
          <w:rFonts w:ascii="Arial" w:hAnsi="Arial"/>
          <w:b w:val="0"/>
          <w:i w:val="0"/>
          <w:caps/>
          <w:color w:val="555555"/>
          <w:sz w:val="18"/>
        </w:rPr>
        <w:t>01 / 05</w:t>
      </w:r>
    </w:p>
    <w:p>
      <w:pPr>
        <w:keepNext/>
        <w:spacing w:before="0" w:after="20" w:line="312" w:lineRule="auto"/>
        <w:jc w:val="left"/>
      </w:pPr>
      <w:r>
        <w:rPr>
          <w:rFonts w:ascii="Arial" w:hAnsi="Arial"/>
          <w:b/>
          <w:i w:val="0"/>
          <w:caps/>
          <w:color w:val="0D0D0D"/>
          <w:sz w:val="36"/>
        </w:rPr>
        <w:t>COMPRENSIÓN DEL CONTEXTO</w:t>
      </w:r>
    </w:p>
    <w:p>
      <w:pPr>
        <w:spacing w:after="280"/>
        <w:pBdr>
          <w:bottom w:val="single" w:sz="6" w:space="8" w:color="0D0D0D"/>
        </w:pBdr>
      </w:pPr>
    </w:p>
    <w:p>
      <w:pPr>
        <w:keepNext w:val="0"/>
        <w:spacing w:before="0" w:after="240" w:line="312" w:lineRule="auto"/>
        <w:jc w:val="left"/>
      </w:pPr>
      <w:r>
        <w:rPr>
          <w:rFonts w:ascii="Arial" w:hAnsi="Arial"/>
          <w:b w:val="0"/>
          <w:i w:val="0"/>
          <w:caps w:val="0"/>
          <w:color w:val="0D0D0D"/>
          <w:sz w:val="22"/>
        </w:rPr>
        <w:t>Vetria Empaques Industriales ha consolidado un grupo de cinco plantas en Nuevo León, Jalisco y Estado de México tras la adquisición de dos competidores regionales. Este crecimiento fortaleció su posición en empaques plásticos y flexibles, pero dejó una operación financiera fragmentada entre Protheus, Sankhya y un sistema propio desarrollado en Delphi.</w:t>
      </w:r>
    </w:p>
    <w:p>
      <w:pPr>
        <w:keepNext w:val="0"/>
        <w:spacing w:before="0" w:after="240" w:line="312" w:lineRule="auto"/>
        <w:jc w:val="left"/>
      </w:pPr>
      <w:r>
        <w:rPr>
          <w:rFonts w:ascii="Arial" w:hAnsi="Arial"/>
          <w:b w:val="0"/>
          <w:i w:val="0"/>
          <w:caps w:val="0"/>
          <w:color w:val="0D0D0D"/>
          <w:sz w:val="22"/>
        </w:rPr>
        <w:t>Hoy, el equipo financiero central invierte hasta 14 días hábiles para cerrar y consolidar la información mensual. La extracción de balances, la reclasificación de cuentas y la conciliación en hojas de cálculo retrasan la visibilidad necesaria para dirigir una empresa de 1,450 colaboradores y cerca de $3,900 millones MXN de facturación anual.</w:t>
      </w:r>
    </w:p>
    <w:p>
      <w:pPr>
        <w:keepNext w:val="0"/>
        <w:spacing w:before="0" w:after="240" w:line="312" w:lineRule="auto"/>
        <w:jc w:val="left"/>
      </w:pPr>
      <w:r>
        <w:rPr>
          <w:rFonts w:ascii="Arial" w:hAnsi="Arial"/>
          <w:b w:val="0"/>
          <w:i w:val="0"/>
          <w:caps w:val="0"/>
          <w:color w:val="0D0D0D"/>
          <w:sz w:val="22"/>
        </w:rPr>
        <w:t>La falta de un flujo centralizado de cuentas por pagar también expone al grupo a inconsistencias de control: la auditoría interna identificó 23 pagos duplicados por $1,190,000 MXN en un año. A ello se suman una posición diaria de efectivo preparada manualmente desde 11 cuentas bancarias y un control de más de 4,200 activos fijos que requiere criterios homogéneos y trazabilidad.</w:t>
      </w:r>
    </w:p>
    <w:p>
      <w:pPr>
        <w:keepNext w:val="0"/>
        <w:spacing w:before="0" w:after="0" w:line="312" w:lineRule="auto"/>
        <w:jc w:val="left"/>
      </w:pPr>
      <w:r>
        <w:rPr>
          <w:rFonts w:ascii="Arial" w:hAnsi="Arial"/>
          <w:b w:val="0"/>
          <w:i w:val="0"/>
          <w:caps w:val="0"/>
          <w:color w:val="0D0D0D"/>
          <w:sz w:val="22"/>
        </w:rPr>
        <w:t>La prioridad es establecer en Oracle un plan de cuentas único, controles de pago y visibilidad consolidada de tesorería, manteniendo una transición gradual sin big bang. El proyecto debe habilitar el go-live financiero a más tardar el 20 de febrero de 2027 y sentar una base de gobierno financiero para la estrategia de crecimiento e IPO proyectada.</w:t>
      </w:r>
    </w:p>
    <w:p>
      <w:r>
        <w:br w:type="page"/>
      </w:r>
    </w:p>
    <w:p>
      <w:pPr>
        <w:keepNext/>
        <w:spacing w:before="0" w:after="40" w:line="312" w:lineRule="auto"/>
        <w:jc w:val="left"/>
      </w:pPr>
      <w:r>
        <w:rPr>
          <w:rFonts w:ascii="Arial" w:hAnsi="Arial"/>
          <w:b w:val="0"/>
          <w:i w:val="0"/>
          <w:caps/>
          <w:color w:val="555555"/>
          <w:sz w:val="18"/>
        </w:rPr>
        <w:t>02 / 05</w:t>
      </w:r>
    </w:p>
    <w:p>
      <w:pPr>
        <w:keepNext/>
        <w:spacing w:before="0" w:after="20" w:line="312" w:lineRule="auto"/>
        <w:jc w:val="left"/>
      </w:pPr>
      <w:r>
        <w:rPr>
          <w:rFonts w:ascii="Arial" w:hAnsi="Arial"/>
          <w:b/>
          <w:i w:val="0"/>
          <w:caps/>
          <w:color w:val="0D0D0D"/>
          <w:sz w:val="36"/>
        </w:rPr>
        <w:t>SOLUCIÓN PROPUESTA</w:t>
      </w:r>
    </w:p>
    <w:p>
      <w:pPr>
        <w:spacing w:after="280"/>
        <w:pBdr>
          <w:bottom w:val="single" w:sz="6" w:space="8" w:color="0D0D0D"/>
        </w:pBdr>
      </w:pPr>
    </w:p>
    <w:p>
      <w:pPr>
        <w:keepNext w:val="0"/>
        <w:spacing w:before="0" w:after="320" w:line="312" w:lineRule="auto"/>
        <w:jc w:val="left"/>
      </w:pPr>
      <w:r>
        <w:rPr>
          <w:rFonts w:ascii="Arial" w:hAnsi="Arial"/>
          <w:b w:val="0"/>
          <w:i w:val="0"/>
          <w:caps w:val="0"/>
          <w:color w:val="0D0D0D"/>
          <w:sz w:val="22"/>
        </w:rPr>
        <w:t>La propuesta conecta el alcance de Oracle Cloud con los dolores prioritarios documentados y preserva la continuidad operativa de las plantas durante la transición.</w:t>
      </w:r>
    </w:p>
    <w:p>
      <w:pPr>
        <w:keepNext/>
        <w:spacing w:before="0" w:after="60" w:line="312" w:lineRule="auto"/>
        <w:jc w:val="left"/>
      </w:pPr>
      <w:r>
        <w:rPr>
          <w:rFonts w:ascii="Arial" w:hAnsi="Arial"/>
          <w:b/>
          <w:i w:val="0"/>
          <w:caps/>
          <w:color w:val="555555"/>
          <w:sz w:val="18"/>
        </w:rPr>
        <w:t>SERVICIO 01</w:t>
      </w:r>
    </w:p>
    <w:p>
      <w:pPr>
        <w:keepNext/>
        <w:spacing w:before="0" w:after="120" w:line="312" w:lineRule="auto"/>
        <w:jc w:val="left"/>
      </w:pPr>
      <w:r>
        <w:rPr>
          <w:rFonts w:ascii="Arial" w:hAnsi="Arial"/>
          <w:b/>
          <w:i w:val="0"/>
          <w:caps w:val="0"/>
          <w:color w:val="0D0D0D"/>
          <w:sz w:val="26"/>
        </w:rPr>
        <w:t>IMPLEMENTACIÓN ORACLE ERP CLOUD (FINANCIALS)</w:t>
      </w:r>
    </w:p>
    <w:p>
      <w:pPr>
        <w:keepNext w:val="0"/>
        <w:spacing w:before="0" w:after="160" w:line="312" w:lineRule="auto"/>
        <w:jc w:val="left"/>
      </w:pPr>
      <w:r>
        <w:rPr>
          <w:rFonts w:ascii="Arial" w:hAnsi="Arial"/>
          <w:b w:val="0"/>
          <w:i w:val="0"/>
          <w:caps w:val="0"/>
          <w:color w:val="0D0D0D"/>
          <w:sz w:val="22"/>
        </w:rPr>
        <w:t>Objetivo para Vetria: establecer un núcleo financiero único que reduzca el cierre mensual de 14 a 5 días hábiles, centralice aprobaciones y entregue una posición de efectivo oportuna.</w:t>
      </w:r>
    </w:p>
    <w:p>
      <w:pPr>
        <w:keepNext w:val="0"/>
        <w:spacing w:before="0" w:after="60" w:line="312" w:lineRule="auto"/>
        <w:jc w:val="left"/>
      </w:pPr>
      <w:r>
        <w:rPr>
          <w:rFonts w:ascii="Arial" w:hAnsi="Arial"/>
          <w:b/>
          <w:i w:val="0"/>
          <w:caps w:val="0"/>
          <w:color w:val="0D0D0D"/>
          <w:sz w:val="20"/>
        </w:rPr>
        <w:t>Alcance incluido:</w:t>
      </w:r>
    </w:p>
    <w:p>
      <w:pPr>
        <w:spacing w:after="80"/>
        <w:ind w:left="312" w:hanging="198"/>
      </w:pPr>
      <w:r>
        <w:rPr>
          <w:rFonts w:ascii="Arial" w:hAnsi="Arial"/>
          <w:b w:val="0"/>
          <w:i w:val="0"/>
          <w:caps w:val="0"/>
          <w:color w:val="0D0D0D"/>
          <w:sz w:val="20"/>
        </w:rPr>
        <w:t>— General Ledger: plan de cuentas, centros de costo y consolidación.</w:t>
      </w:r>
    </w:p>
    <w:p>
      <w:pPr>
        <w:spacing w:after="80"/>
        <w:ind w:left="312" w:hanging="198"/>
      </w:pPr>
      <w:r>
        <w:rPr>
          <w:rFonts w:ascii="Arial" w:hAnsi="Arial"/>
          <w:b w:val="0"/>
          <w:i w:val="0"/>
          <w:caps w:val="0"/>
          <w:color w:val="0D0D0D"/>
          <w:sz w:val="20"/>
        </w:rPr>
        <w:t>— Accounts Payable: ciclo de compras, pagos y flujo de autorizaciones.</w:t>
      </w:r>
    </w:p>
    <w:p>
      <w:pPr>
        <w:spacing w:after="80"/>
        <w:ind w:left="312" w:hanging="198"/>
      </w:pPr>
      <w:r>
        <w:rPr>
          <w:rFonts w:ascii="Arial" w:hAnsi="Arial"/>
          <w:b w:val="0"/>
          <w:i w:val="0"/>
          <w:caps w:val="0"/>
          <w:color w:val="0D0D0D"/>
          <w:sz w:val="20"/>
        </w:rPr>
        <w:t>— Cash Management: conciliación bancaria y flujo de efectivo.</w:t>
      </w:r>
    </w:p>
    <w:p>
      <w:pPr>
        <w:spacing w:after="80"/>
        <w:ind w:left="312" w:hanging="198"/>
      </w:pPr>
      <w:r>
        <w:rPr>
          <w:rFonts w:ascii="Arial" w:hAnsi="Arial"/>
          <w:b w:val="0"/>
          <w:i w:val="0"/>
          <w:caps w:val="0"/>
          <w:color w:val="0D0D0D"/>
          <w:sz w:val="20"/>
        </w:rPr>
        <w:t>— Diseño preparado para Fixed Assets y Expense Management en una fase futura.</w:t>
      </w:r>
    </w:p>
    <w:p>
      <w:pPr>
        <w:keepNext/>
        <w:spacing w:before="280" w:after="60" w:line="312" w:lineRule="auto"/>
        <w:jc w:val="left"/>
      </w:pPr>
      <w:r>
        <w:rPr>
          <w:rFonts w:ascii="Arial" w:hAnsi="Arial"/>
          <w:b/>
          <w:i w:val="0"/>
          <w:caps/>
          <w:color w:val="555555"/>
          <w:sz w:val="18"/>
        </w:rPr>
        <w:t>SERVICIO 02</w:t>
      </w:r>
    </w:p>
    <w:p>
      <w:pPr>
        <w:keepNext/>
        <w:spacing w:before="0" w:after="120" w:line="312" w:lineRule="auto"/>
        <w:jc w:val="left"/>
      </w:pPr>
      <w:r>
        <w:rPr>
          <w:rFonts w:ascii="Arial" w:hAnsi="Arial"/>
          <w:b/>
          <w:i w:val="0"/>
          <w:caps w:val="0"/>
          <w:color w:val="0D0D0D"/>
          <w:sz w:val="26"/>
        </w:rPr>
        <w:t>INTEGRACIÓN ORACLE CON SISTEMAS LEGADOS</w:t>
      </w:r>
    </w:p>
    <w:p>
      <w:pPr>
        <w:keepNext w:val="0"/>
        <w:spacing w:before="0" w:after="160" w:line="312" w:lineRule="auto"/>
        <w:jc w:val="left"/>
      </w:pPr>
      <w:r>
        <w:rPr>
          <w:rFonts w:ascii="Arial" w:hAnsi="Arial"/>
          <w:b w:val="0"/>
          <w:i w:val="0"/>
          <w:caps w:val="0"/>
          <w:color w:val="0D0D0D"/>
          <w:sz w:val="22"/>
        </w:rPr>
        <w:t>Objetivo para Vetria: mantener la operación de las plantas adquiridas mientras Oracle recibe información financiera consistente durante la migración gradual.</w:t>
      </w:r>
    </w:p>
    <w:p>
      <w:pPr>
        <w:keepNext w:val="0"/>
        <w:spacing w:before="0" w:after="60" w:line="312" w:lineRule="auto"/>
        <w:jc w:val="left"/>
      </w:pPr>
      <w:r>
        <w:rPr>
          <w:rFonts w:ascii="Arial" w:hAnsi="Arial"/>
          <w:b/>
          <w:i w:val="0"/>
          <w:caps w:val="0"/>
          <w:color w:val="0D0D0D"/>
          <w:sz w:val="20"/>
        </w:rPr>
        <w:t>Alcance incluido:</w:t>
      </w:r>
    </w:p>
    <w:p>
      <w:pPr>
        <w:spacing w:after="80"/>
        <w:ind w:left="312" w:hanging="198"/>
      </w:pPr>
      <w:r>
        <w:rPr>
          <w:rFonts w:ascii="Arial" w:hAnsi="Arial"/>
          <w:b w:val="0"/>
          <w:i w:val="0"/>
          <w:caps w:val="0"/>
          <w:color w:val="0D0D0D"/>
          <w:sz w:val="20"/>
        </w:rPr>
        <w:t>— Diseño e implementación de conectores mediante Oracle Integration Cloud (OIC), REST APIs y middleware según corresponda.</w:t>
      </w:r>
    </w:p>
    <w:p>
      <w:pPr>
        <w:spacing w:after="80"/>
        <w:ind w:left="312" w:hanging="198"/>
      </w:pPr>
      <w:r>
        <w:rPr>
          <w:rFonts w:ascii="Arial" w:hAnsi="Arial"/>
          <w:b w:val="0"/>
          <w:i w:val="0"/>
          <w:caps w:val="0"/>
          <w:color w:val="0D0D0D"/>
          <w:sz w:val="20"/>
        </w:rPr>
        <w:t>— Flujos de información entre Oracle ERP Cloud y Protheus, Sankhya y el sistema legado de la planta histórica.</w:t>
      </w:r>
    </w:p>
    <w:p>
      <w:pPr>
        <w:spacing w:after="80"/>
        <w:ind w:left="312" w:hanging="198"/>
      </w:pPr>
      <w:r>
        <w:rPr>
          <w:rFonts w:ascii="Arial" w:hAnsi="Arial"/>
          <w:b w:val="0"/>
          <w:i w:val="0"/>
          <w:caps w:val="0"/>
          <w:color w:val="0D0D0D"/>
          <w:sz w:val="20"/>
        </w:rPr>
        <w:t>— Pruebas de integración y trazabilidad de datos para la transición de 6 a 12 meses.</w:t>
      </w:r>
    </w:p>
    <w:p>
      <w:r>
        <w:br w:type="page"/>
      </w:r>
    </w:p>
    <w:p>
      <w:pPr>
        <w:keepNext/>
        <w:spacing w:before="0" w:after="40" w:line="312" w:lineRule="auto"/>
        <w:jc w:val="left"/>
      </w:pPr>
      <w:r>
        <w:rPr>
          <w:rFonts w:ascii="Arial" w:hAnsi="Arial"/>
          <w:b w:val="0"/>
          <w:i w:val="0"/>
          <w:caps/>
          <w:color w:val="555555"/>
          <w:sz w:val="18"/>
        </w:rPr>
        <w:t>03 / 05</w:t>
      </w:r>
    </w:p>
    <w:p>
      <w:pPr>
        <w:keepNext/>
        <w:spacing w:before="0" w:after="20" w:line="312" w:lineRule="auto"/>
        <w:jc w:val="left"/>
      </w:pPr>
      <w:r>
        <w:rPr>
          <w:rFonts w:ascii="Arial" w:hAnsi="Arial"/>
          <w:b/>
          <w:i w:val="0"/>
          <w:caps/>
          <w:color w:val="0D0D0D"/>
          <w:sz w:val="36"/>
        </w:rPr>
        <w:t>METODOLOGÍA Y CRONOGRAMA</w:t>
      </w:r>
    </w:p>
    <w:p>
      <w:pPr>
        <w:spacing w:after="280"/>
        <w:pBdr>
          <w:bottom w:val="single" w:sz="6" w:space="8" w:color="0D0D0D"/>
        </w:pBdr>
      </w:pPr>
    </w:p>
    <w:p>
      <w:pPr>
        <w:keepNext w:val="0"/>
        <w:spacing w:before="0" w:after="280" w:line="312" w:lineRule="auto"/>
        <w:jc w:val="left"/>
      </w:pPr>
      <w:r>
        <w:rPr>
          <w:rFonts w:ascii="Arial" w:hAnsi="Arial"/>
          <w:b w:val="0"/>
          <w:i w:val="0"/>
          <w:caps w:val="0"/>
          <w:color w:val="0D0D0D"/>
          <w:sz w:val="22"/>
        </w:rPr>
        <w:t>ARI CONSULTING conduce el proyecto con la Oracle Cloud Implementation Methodology (OCIM), adaptada a la operación multi-planta de Vetria y al objetivo de una transición controlada.</w:t>
      </w:r>
    </w:p>
    <w:p>
      <w:pPr>
        <w:keepNext/>
        <w:spacing w:before="0" w:after="20" w:line="312" w:lineRule="auto"/>
        <w:jc w:val="left"/>
      </w:pPr>
      <w:r>
        <w:rPr>
          <w:rFonts w:ascii="Arial" w:hAnsi="Arial"/>
          <w:b/>
          <w:i w:val="0"/>
          <w:caps w:val="0"/>
          <w:color w:val="0D0D0D"/>
          <w:sz w:val="20"/>
        </w:rPr>
        <w:t>FASE 1 — DESCUBRIMIENTO</w:t>
      </w:r>
    </w:p>
    <w:p>
      <w:pPr>
        <w:keepNext w:val="0"/>
        <w:spacing w:before="0" w:after="40" w:line="312" w:lineRule="auto"/>
        <w:jc w:val="left"/>
      </w:pPr>
      <w:r>
        <w:rPr>
          <w:rFonts w:ascii="Arial" w:hAnsi="Arial"/>
          <w:b w:val="0"/>
          <w:i w:val="0"/>
          <w:caps w:val="0"/>
          <w:color w:val="555555"/>
          <w:sz w:val="18"/>
        </w:rPr>
        <w:t>Semanas 1 a 2</w:t>
      </w:r>
    </w:p>
    <w:p>
      <w:pPr>
        <w:keepNext w:val="0"/>
        <w:spacing w:before="0" w:after="160" w:line="312" w:lineRule="auto"/>
        <w:jc w:val="left"/>
      </w:pPr>
      <w:r>
        <w:rPr>
          <w:rFonts w:ascii="Arial" w:hAnsi="Arial"/>
          <w:b w:val="0"/>
          <w:i w:val="0"/>
          <w:caps w:val="0"/>
          <w:color w:val="0D0D0D"/>
          <w:sz w:val="20"/>
        </w:rPr>
        <w:t>Validación de alcance, equipo de proyecto, procesos actuales y datos de los tres ERPs.</w:t>
      </w:r>
    </w:p>
    <w:p>
      <w:pPr>
        <w:keepNext/>
        <w:spacing w:before="0" w:after="20" w:line="312" w:lineRule="auto"/>
        <w:jc w:val="left"/>
      </w:pPr>
      <w:r>
        <w:rPr>
          <w:rFonts w:ascii="Arial" w:hAnsi="Arial"/>
          <w:b/>
          <w:i w:val="0"/>
          <w:caps w:val="0"/>
          <w:color w:val="0D0D0D"/>
          <w:sz w:val="20"/>
        </w:rPr>
        <w:t>FASE 2 — DISEÑO</w:t>
      </w:r>
    </w:p>
    <w:p>
      <w:pPr>
        <w:keepNext w:val="0"/>
        <w:spacing w:before="0" w:after="40" w:line="312" w:lineRule="auto"/>
        <w:jc w:val="left"/>
      </w:pPr>
      <w:r>
        <w:rPr>
          <w:rFonts w:ascii="Arial" w:hAnsi="Arial"/>
          <w:b w:val="0"/>
          <w:i w:val="0"/>
          <w:caps w:val="0"/>
          <w:color w:val="555555"/>
          <w:sz w:val="18"/>
        </w:rPr>
        <w:t>Semanas 3 a 5</w:t>
      </w:r>
    </w:p>
    <w:p>
      <w:pPr>
        <w:keepNext w:val="0"/>
        <w:spacing w:before="0" w:after="160" w:line="312" w:lineRule="auto"/>
        <w:jc w:val="left"/>
      </w:pPr>
      <w:r>
        <w:rPr>
          <w:rFonts w:ascii="Arial" w:hAnsi="Arial"/>
          <w:b w:val="0"/>
          <w:i w:val="0"/>
          <w:caps w:val="0"/>
          <w:color w:val="0D0D0D"/>
          <w:sz w:val="20"/>
        </w:rPr>
        <w:t>Definición del modelo financiero, parametrizaciones, plan de cuentas y arquitectura de integración.</w:t>
      </w:r>
    </w:p>
    <w:p>
      <w:pPr>
        <w:keepNext/>
        <w:spacing w:before="0" w:after="20" w:line="312" w:lineRule="auto"/>
        <w:jc w:val="left"/>
      </w:pPr>
      <w:r>
        <w:rPr>
          <w:rFonts w:ascii="Arial" w:hAnsi="Arial"/>
          <w:b/>
          <w:i w:val="0"/>
          <w:caps w:val="0"/>
          <w:color w:val="0D0D0D"/>
          <w:sz w:val="20"/>
        </w:rPr>
        <w:t>FASE 3 — BUILD</w:t>
      </w:r>
    </w:p>
    <w:p>
      <w:pPr>
        <w:keepNext w:val="0"/>
        <w:spacing w:before="0" w:after="40" w:line="312" w:lineRule="auto"/>
        <w:jc w:val="left"/>
      </w:pPr>
      <w:r>
        <w:rPr>
          <w:rFonts w:ascii="Arial" w:hAnsi="Arial"/>
          <w:b w:val="0"/>
          <w:i w:val="0"/>
          <w:caps w:val="0"/>
          <w:color w:val="555555"/>
          <w:sz w:val="18"/>
        </w:rPr>
        <w:t>Semanas 6 a 11</w:t>
      </w:r>
    </w:p>
    <w:p>
      <w:pPr>
        <w:keepNext w:val="0"/>
        <w:spacing w:before="0" w:after="160" w:line="312" w:lineRule="auto"/>
        <w:jc w:val="left"/>
      </w:pPr>
      <w:r>
        <w:rPr>
          <w:rFonts w:ascii="Arial" w:hAnsi="Arial"/>
          <w:b w:val="0"/>
          <w:i w:val="0"/>
          <w:caps w:val="0"/>
          <w:color w:val="0D0D0D"/>
          <w:sz w:val="20"/>
        </w:rPr>
        <w:t>Configuración de Financials, construcción de conectores OIC, migración y documentación técnica.</w:t>
      </w:r>
    </w:p>
    <w:p>
      <w:pPr>
        <w:keepNext/>
        <w:spacing w:before="0" w:after="20" w:line="312" w:lineRule="auto"/>
        <w:jc w:val="left"/>
      </w:pPr>
      <w:r>
        <w:rPr>
          <w:rFonts w:ascii="Arial" w:hAnsi="Arial"/>
          <w:b/>
          <w:i w:val="0"/>
          <w:caps w:val="0"/>
          <w:color w:val="0D0D0D"/>
          <w:sz w:val="20"/>
        </w:rPr>
        <w:t>FASE 4 — PRUEBAS</w:t>
      </w:r>
    </w:p>
    <w:p>
      <w:pPr>
        <w:keepNext w:val="0"/>
        <w:spacing w:before="0" w:after="40" w:line="312" w:lineRule="auto"/>
        <w:jc w:val="left"/>
      </w:pPr>
      <w:r>
        <w:rPr>
          <w:rFonts w:ascii="Arial" w:hAnsi="Arial"/>
          <w:b w:val="0"/>
          <w:i w:val="0"/>
          <w:caps w:val="0"/>
          <w:color w:val="555555"/>
          <w:sz w:val="18"/>
        </w:rPr>
        <w:t>Semanas 12 a 14</w:t>
      </w:r>
    </w:p>
    <w:p>
      <w:pPr>
        <w:keepNext w:val="0"/>
        <w:spacing w:before="0" w:after="160" w:line="312" w:lineRule="auto"/>
        <w:jc w:val="left"/>
      </w:pPr>
      <w:r>
        <w:rPr>
          <w:rFonts w:ascii="Arial" w:hAnsi="Arial"/>
          <w:b w:val="0"/>
          <w:i w:val="0"/>
          <w:caps w:val="0"/>
          <w:color w:val="0D0D0D"/>
          <w:sz w:val="20"/>
        </w:rPr>
        <w:t>Pruebas de sistema, integraciones, UAT y corrección de desviaciones.</w:t>
      </w:r>
    </w:p>
    <w:p>
      <w:pPr>
        <w:keepNext/>
        <w:spacing w:before="0" w:after="20" w:line="312" w:lineRule="auto"/>
        <w:jc w:val="left"/>
      </w:pPr>
      <w:r>
        <w:rPr>
          <w:rFonts w:ascii="Arial" w:hAnsi="Arial"/>
          <w:b/>
          <w:i w:val="0"/>
          <w:caps w:val="0"/>
          <w:color w:val="0D0D0D"/>
          <w:sz w:val="20"/>
        </w:rPr>
        <w:t>FASE 5 — GO-LIVE</w:t>
      </w:r>
    </w:p>
    <w:p>
      <w:pPr>
        <w:keepNext w:val="0"/>
        <w:spacing w:before="0" w:after="40" w:line="312" w:lineRule="auto"/>
        <w:jc w:val="left"/>
      </w:pPr>
      <w:r>
        <w:rPr>
          <w:rFonts w:ascii="Arial" w:hAnsi="Arial"/>
          <w:b w:val="0"/>
          <w:i w:val="0"/>
          <w:caps w:val="0"/>
          <w:color w:val="555555"/>
          <w:sz w:val="18"/>
        </w:rPr>
        <w:t>Semana 15</w:t>
      </w:r>
    </w:p>
    <w:p>
      <w:pPr>
        <w:keepNext w:val="0"/>
        <w:spacing w:before="0" w:after="160" w:line="312" w:lineRule="auto"/>
        <w:jc w:val="left"/>
      </w:pPr>
      <w:r>
        <w:rPr>
          <w:rFonts w:ascii="Arial" w:hAnsi="Arial"/>
          <w:b w:val="0"/>
          <w:i w:val="0"/>
          <w:caps w:val="0"/>
          <w:color w:val="0D0D0D"/>
          <w:sz w:val="20"/>
        </w:rPr>
        <w:t>Activación productiva, corte controlado y soporte intensivo inicial.</w:t>
      </w:r>
    </w:p>
    <w:p>
      <w:pPr>
        <w:keepNext/>
        <w:spacing w:before="0" w:after="20" w:line="312" w:lineRule="auto"/>
        <w:jc w:val="left"/>
      </w:pPr>
      <w:r>
        <w:rPr>
          <w:rFonts w:ascii="Arial" w:hAnsi="Arial"/>
          <w:b/>
          <w:i w:val="0"/>
          <w:caps w:val="0"/>
          <w:color w:val="0D0D0D"/>
          <w:sz w:val="20"/>
        </w:rPr>
        <w:t>FASE 6 — HIPERCARE</w:t>
      </w:r>
    </w:p>
    <w:p>
      <w:pPr>
        <w:keepNext w:val="0"/>
        <w:spacing w:before="0" w:after="40" w:line="312" w:lineRule="auto"/>
        <w:jc w:val="left"/>
      </w:pPr>
      <w:r>
        <w:rPr>
          <w:rFonts w:ascii="Arial" w:hAnsi="Arial"/>
          <w:b w:val="0"/>
          <w:i w:val="0"/>
          <w:caps w:val="0"/>
          <w:color w:val="555555"/>
          <w:sz w:val="18"/>
        </w:rPr>
        <w:t>Semanas 16 a 17</w:t>
      </w:r>
    </w:p>
    <w:p>
      <w:pPr>
        <w:keepNext w:val="0"/>
        <w:spacing w:before="0" w:after="160" w:line="312" w:lineRule="auto"/>
        <w:jc w:val="left"/>
      </w:pPr>
      <w:r>
        <w:rPr>
          <w:rFonts w:ascii="Arial" w:hAnsi="Arial"/>
          <w:b w:val="0"/>
          <w:i w:val="0"/>
          <w:caps w:val="0"/>
          <w:color w:val="0D0D0D"/>
          <w:sz w:val="20"/>
        </w:rPr>
        <w:t>Seguimiento, ajustes finos, cierre formal y transición a soporte continuo.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color="FFFFFF"/>
          <w:left w:val="nil" w:color="FFFFFF"/>
          <w:bottom w:val="nil" w:color="FFFFFF"/>
          <w:right w:val="nil" w:color="FFFFFF"/>
          <w:insideH w:val="nil" w:color="FFFFFF"/>
          <w:insideV w:val="nil" w:color="FFFFFF"/>
        </w:tblBorders>
      </w:tblPr>
      <w:tblGrid>
        <w:gridCol w:w="4536"/>
        <w:gridCol w:w="4536"/>
      </w:tblGrid>
      <w:tr>
        <w:tc>
          <w:tcPr>
            <w:tcW w:type="dxa" w:w="4536"/>
            <w:shd w:fill="F9F9F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i w:val="0"/>
                <w:caps w:val="0"/>
                <w:color w:val="555555"/>
                <w:sz w:val="18"/>
              </w:rPr>
              <w:t>INICIO ESTIMADO</w:t>
            </w:r>
          </w:p>
        </w:tc>
        <w:tc>
          <w:tcPr>
            <w:tcW w:type="dxa" w:w="453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i w:val="0"/>
                <w:caps w:val="0"/>
                <w:color w:val="0D0D0D"/>
                <w:sz w:val="20"/>
              </w:rPr>
              <w:t>01/11/2026</w:t>
            </w:r>
          </w:p>
        </w:tc>
      </w:tr>
      <w:tr>
        <w:tc>
          <w:tcPr>
            <w:tcW w:type="dxa" w:w="4536"/>
            <w:shd w:fill="F9F9F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i w:val="0"/>
                <w:caps w:val="0"/>
                <w:color w:val="555555"/>
                <w:sz w:val="18"/>
              </w:rPr>
              <w:t>GO-LIVE LÍMITE</w:t>
            </w:r>
          </w:p>
        </w:tc>
        <w:tc>
          <w:tcPr>
            <w:tcW w:type="dxa" w:w="453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i w:val="0"/>
                <w:caps w:val="0"/>
                <w:color w:val="0D0D0D"/>
                <w:sz w:val="20"/>
              </w:rPr>
              <w:t>20/02/2027</w:t>
            </w:r>
          </w:p>
        </w:tc>
      </w:tr>
      <w:tr>
        <w:tc>
          <w:tcPr>
            <w:tcW w:type="dxa" w:w="4536"/>
            <w:shd w:fill="F9F9F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i w:val="0"/>
                <w:caps w:val="0"/>
                <w:color w:val="555555"/>
                <w:sz w:val="18"/>
              </w:rPr>
              <w:t>DURACIÓN TOTAL</w:t>
            </w:r>
          </w:p>
        </w:tc>
        <w:tc>
          <w:tcPr>
            <w:tcW w:type="dxa" w:w="453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i w:val="0"/>
                <w:caps w:val="0"/>
                <w:color w:val="0D0D0D"/>
                <w:sz w:val="20"/>
              </w:rPr>
              <w:t>112 días naturales</w:t>
            </w:r>
          </w:p>
        </w:tc>
      </w:tr>
    </w:tbl>
    <w:p>
      <w:r>
        <w:br w:type="page"/>
      </w:r>
    </w:p>
    <w:p>
      <w:pPr>
        <w:keepNext/>
        <w:spacing w:before="0" w:after="40" w:line="312" w:lineRule="auto"/>
        <w:jc w:val="left"/>
      </w:pPr>
      <w:r>
        <w:rPr>
          <w:rFonts w:ascii="Arial" w:hAnsi="Arial"/>
          <w:b w:val="0"/>
          <w:i w:val="0"/>
          <w:caps/>
          <w:color w:val="555555"/>
          <w:sz w:val="18"/>
        </w:rPr>
        <w:t>04 / 05</w:t>
      </w:r>
    </w:p>
    <w:p>
      <w:pPr>
        <w:keepNext/>
        <w:spacing w:before="0" w:after="20" w:line="312" w:lineRule="auto"/>
        <w:jc w:val="left"/>
      </w:pPr>
      <w:r>
        <w:rPr>
          <w:rFonts w:ascii="Arial" w:hAnsi="Arial"/>
          <w:b/>
          <w:i w:val="0"/>
          <w:caps/>
          <w:color w:val="0D0D0D"/>
          <w:sz w:val="36"/>
        </w:rPr>
        <w:t>INVERSIÓN</w:t>
      </w:r>
    </w:p>
    <w:p>
      <w:pPr>
        <w:spacing w:after="280"/>
        <w:pBdr>
          <w:bottom w:val="single" w:sz="6" w:space="8" w:color="0D0D0D"/>
        </w:pBdr>
      </w:pPr>
    </w:p>
    <w:p>
      <w:pPr>
        <w:keepNext w:val="0"/>
        <w:spacing w:before="0" w:after="280" w:line="312" w:lineRule="auto"/>
        <w:jc w:val="left"/>
      </w:pPr>
      <w:r>
        <w:rPr>
          <w:rFonts w:ascii="Arial" w:hAnsi="Arial"/>
          <w:b w:val="0"/>
          <w:i w:val="0"/>
          <w:caps w:val="0"/>
          <w:color w:val="0D0D0D"/>
          <w:sz w:val="22"/>
        </w:rPr>
        <w:t>La siguiente inversión cubre los dos servicios priorizados para la fase 1. No se aplica descuento por combinación.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color="FFFFFF"/>
          <w:left w:val="nil" w:color="FFFFFF"/>
          <w:bottom w:val="nil" w:color="FFFFFF"/>
          <w:right w:val="nil" w:color="FFFFFF"/>
          <w:insideH w:val="nil" w:color="FFFFFF"/>
          <w:insideV w:val="nil" w:color="FFFFF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0D0D0D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aps w:val="0"/>
                <w:color w:val="FFFFFF"/>
                <w:sz w:val="18"/>
              </w:rPr>
              <w:t>SERVICIO</w:t>
            </w:r>
          </w:p>
        </w:tc>
        <w:tc>
          <w:tcPr>
            <w:tcW w:type="dxa" w:w="3024"/>
            <w:shd w:fill="0D0D0D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aps w:val="0"/>
                <w:color w:val="FFFFFF"/>
                <w:sz w:val="18"/>
              </w:rPr>
              <w:t>PLAZO</w:t>
            </w:r>
          </w:p>
        </w:tc>
        <w:tc>
          <w:tcPr>
            <w:tcW w:type="dxa" w:w="3024"/>
            <w:shd w:fill="0D0D0D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aps w:val="0"/>
                <w:color w:val="FFFFFF"/>
                <w:sz w:val="18"/>
              </w:rPr>
              <w:t>INVERSIÓN</w:t>
            </w:r>
          </w:p>
        </w:tc>
      </w:tr>
      <w:tr>
        <w:tc>
          <w:tcPr>
            <w:tcW w:type="dxa" w:w="3024"/>
            <w:shd w:fill="F9F9F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caps w:val="0"/>
                <w:color w:val="0D0D0D"/>
                <w:sz w:val="20"/>
              </w:rPr>
              <w:t>Implementación Oracle ERP Cloud (Financials)</w:t>
            </w:r>
          </w:p>
        </w:tc>
        <w:tc>
          <w:tcPr>
            <w:tcW w:type="dxa" w:w="3024"/>
            <w:shd w:fill="F9F9F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caps w:val="0"/>
                <w:color w:val="0D0D0D"/>
                <w:sz w:val="20"/>
              </w:rPr>
              <w:t>90 a 120 días</w:t>
            </w:r>
          </w:p>
        </w:tc>
        <w:tc>
          <w:tcPr>
            <w:tcW w:type="dxa" w:w="3024"/>
            <w:shd w:fill="F9F9F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caps w:val="0"/>
                <w:color w:val="0D0D0D"/>
                <w:sz w:val="20"/>
              </w:rPr>
              <w:t>$850,000 MXN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i w:val="0"/>
                <w:caps w:val="0"/>
                <w:color w:val="0D0D0D"/>
                <w:sz w:val="20"/>
              </w:rPr>
              <w:t>Integración Oracle con Sistemas Legados</w:t>
            </w:r>
          </w:p>
        </w:tc>
        <w:tc>
          <w:tcPr>
            <w:tcW w:type="dxa" w:w="302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caps w:val="0"/>
                <w:color w:val="0D0D0D"/>
                <w:sz w:val="20"/>
              </w:rPr>
              <w:t>30 a 60 días</w:t>
            </w:r>
          </w:p>
        </w:tc>
        <w:tc>
          <w:tcPr>
            <w:tcW w:type="dxa" w:w="302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caps w:val="0"/>
                <w:color w:val="0D0D0D"/>
                <w:sz w:val="20"/>
              </w:rPr>
              <w:t>$325,000 MXN</w:t>
            </w:r>
          </w:p>
        </w:tc>
      </w:tr>
      <w:tr>
        <w:tc>
          <w:tcPr>
            <w:tcW w:type="dxa" w:w="3024"/>
            <w:shd w:fill="0D0D0D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i w:val="0"/>
                <w:caps w:val="0"/>
                <w:color w:val="FFFFFF"/>
                <w:sz w:val="20"/>
              </w:rPr>
              <w:t>TOTAL DEL PROYECTO</w:t>
            </w:r>
          </w:p>
        </w:tc>
        <w:tc>
          <w:tcPr>
            <w:tcW w:type="dxa" w:w="3024"/>
            <w:shd w:fill="0D0D0D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aps w:val="0"/>
                <w:color w:val="FFFFFF"/>
                <w:sz w:val="20"/>
              </w:rPr>
              <w:t>112 días</w:t>
            </w:r>
          </w:p>
        </w:tc>
        <w:tc>
          <w:tcPr>
            <w:tcW w:type="dxa" w:w="3024"/>
            <w:shd w:fill="0D0D0D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caps w:val="0"/>
                <w:color w:val="FFFFFF"/>
                <w:sz w:val="20"/>
              </w:rPr>
              <w:t>$1,175,000 MXN</w:t>
            </w:r>
          </w:p>
        </w:tc>
      </w:tr>
    </w:tbl>
    <w:p>
      <w:pPr>
        <w:keepNext w:val="0"/>
        <w:spacing w:before="200" w:after="260" w:line="312" w:lineRule="auto"/>
        <w:jc w:val="left"/>
      </w:pPr>
      <w:r>
        <w:rPr>
          <w:rFonts w:ascii="Arial" w:hAnsi="Arial"/>
          <w:b w:val="0"/>
          <w:i/>
          <w:caps w:val="0"/>
          <w:color w:val="555555"/>
          <w:sz w:val="20"/>
        </w:rPr>
        <w:t>Descuento por combinación: no aplicado.</w:t>
      </w:r>
    </w:p>
    <w:p>
      <w:pPr>
        <w:keepNext w:val="0"/>
        <w:spacing w:before="0" w:after="80" w:line="312" w:lineRule="auto"/>
        <w:jc w:val="left"/>
      </w:pPr>
      <w:r>
        <w:rPr>
          <w:rFonts w:ascii="Arial" w:hAnsi="Arial"/>
          <w:b/>
          <w:i w:val="0"/>
          <w:caps w:val="0"/>
          <w:color w:val="0D0D0D"/>
          <w:sz w:val="20"/>
        </w:rPr>
        <w:t>Condiciones de pago</w:t>
      </w:r>
    </w:p>
    <w:p>
      <w:pPr>
        <w:keepNext w:val="0"/>
        <w:spacing w:before="0" w:after="60" w:line="312" w:lineRule="auto"/>
        <w:jc w:val="left"/>
      </w:pPr>
      <w:r>
        <w:rPr>
          <w:rFonts w:ascii="Arial" w:hAnsi="Arial"/>
          <w:b w:val="0"/>
          <w:i w:val="0"/>
          <w:caps w:val="0"/>
          <w:color w:val="0D0D0D"/>
          <w:sz w:val="20"/>
        </w:rPr>
        <w:t>— 30% a la firma del contrato — $352,500 MXN</w:t>
      </w:r>
    </w:p>
    <w:p>
      <w:pPr>
        <w:keepNext w:val="0"/>
        <w:spacing w:before="0" w:after="60" w:line="312" w:lineRule="auto"/>
        <w:jc w:val="left"/>
      </w:pPr>
      <w:r>
        <w:rPr>
          <w:rFonts w:ascii="Arial" w:hAnsi="Arial"/>
          <w:b w:val="0"/>
          <w:i w:val="0"/>
          <w:caps w:val="0"/>
          <w:color w:val="0D0D0D"/>
          <w:sz w:val="20"/>
        </w:rPr>
        <w:t>— 40% al concluir la Fase de Build — $470,000 MXN</w:t>
      </w:r>
    </w:p>
    <w:p>
      <w:pPr>
        <w:keepNext w:val="0"/>
        <w:spacing w:before="0" w:after="60" w:line="312" w:lineRule="auto"/>
        <w:jc w:val="left"/>
      </w:pPr>
      <w:r>
        <w:rPr>
          <w:rFonts w:ascii="Arial" w:hAnsi="Arial"/>
          <w:b w:val="0"/>
          <w:i w:val="0"/>
          <w:caps w:val="0"/>
          <w:color w:val="0D0D0D"/>
          <w:sz w:val="20"/>
        </w:rPr>
        <w:t>— 30% en el Go-Live confirmado — $352,500 MXN</w:t>
      </w:r>
    </w:p>
    <w:p>
      <w:pPr>
        <w:keepNext w:val="0"/>
        <w:spacing w:before="200" w:after="0" w:line="312" w:lineRule="auto"/>
        <w:jc w:val="left"/>
      </w:pPr>
      <w:r>
        <w:rPr>
          <w:rFonts w:ascii="Arial" w:hAnsi="Arial"/>
          <w:b w:val="0"/>
          <w:i w:val="0"/>
          <w:caps w:val="0"/>
          <w:color w:val="555555"/>
          <w:sz w:val="18"/>
        </w:rPr>
        <w:t>Vigencia de esta propuesta: 30 días naturales a partir de la emisión. Valores en pesos mexicanos (MXN). No incluyen impuestos (IVA 16%).</w:t>
      </w:r>
    </w:p>
    <w:p>
      <w:r>
        <w:br w:type="page"/>
      </w:r>
    </w:p>
    <w:p>
      <w:pPr>
        <w:keepNext/>
        <w:spacing w:before="0" w:after="40" w:line="312" w:lineRule="auto"/>
        <w:jc w:val="left"/>
      </w:pPr>
      <w:r>
        <w:rPr>
          <w:rFonts w:ascii="Arial" w:hAnsi="Arial"/>
          <w:b w:val="0"/>
          <w:i w:val="0"/>
          <w:caps/>
          <w:color w:val="555555"/>
          <w:sz w:val="18"/>
        </w:rPr>
        <w:t>05 / 05</w:t>
      </w:r>
    </w:p>
    <w:p>
      <w:pPr>
        <w:keepNext/>
        <w:spacing w:before="0" w:after="20" w:line="312" w:lineRule="auto"/>
        <w:jc w:val="left"/>
      </w:pPr>
      <w:r>
        <w:rPr>
          <w:rFonts w:ascii="Arial" w:hAnsi="Arial"/>
          <w:b/>
          <w:i w:val="0"/>
          <w:caps/>
          <w:color w:val="0D0D0D"/>
          <w:sz w:val="36"/>
        </w:rPr>
        <w:t>PRÓXIMOS PASOS</w:t>
      </w:r>
    </w:p>
    <w:p>
      <w:pPr>
        <w:spacing w:after="280"/>
        <w:pBdr>
          <w:bottom w:val="single" w:sz="6" w:space="8" w:color="0D0D0D"/>
        </w:pBdr>
      </w:pPr>
    </w:p>
    <w:p>
      <w:pPr>
        <w:keepNext w:val="0"/>
        <w:spacing w:before="0" w:after="240" w:line="312" w:lineRule="auto"/>
        <w:jc w:val="left"/>
      </w:pPr>
      <w:r>
        <w:rPr>
          <w:rFonts w:ascii="Arial" w:hAnsi="Arial"/>
          <w:b w:val="0"/>
          <w:i w:val="0"/>
          <w:caps w:val="0"/>
          <w:color w:val="0D0D0D"/>
          <w:sz w:val="22"/>
        </w:rPr>
        <w:t>Para avanzar con la fase 1 de unificación financiera, proponemos los siguientes pasos:</w:t>
      </w:r>
    </w:p>
    <w:p>
      <w:pPr>
        <w:spacing w:after="180"/>
      </w:pPr>
      <w:r>
        <w:rPr>
          <w:rFonts w:ascii="Arial" w:hAnsi="Arial"/>
          <w:b/>
          <w:i w:val="0"/>
          <w:caps w:val="0"/>
          <w:color w:val="555555"/>
          <w:sz w:val="20"/>
        </w:rPr>
        <w:t xml:space="preserve">01  </w:t>
      </w:r>
      <w:r>
        <w:rPr>
          <w:rFonts w:ascii="Arial" w:hAnsi="Arial"/>
          <w:b w:val="0"/>
          <w:i w:val="0"/>
          <w:caps w:val="0"/>
          <w:color w:val="0D0D0D"/>
          <w:sz w:val="22"/>
        </w:rPr>
        <w:t>Revisión y aprobación interna de esta propuesta por Vetria Empaques Industriales.</w:t>
      </w:r>
    </w:p>
    <w:p>
      <w:pPr>
        <w:spacing w:after="180"/>
      </w:pPr>
      <w:r>
        <w:rPr>
          <w:rFonts w:ascii="Arial" w:hAnsi="Arial"/>
          <w:b/>
          <w:i w:val="0"/>
          <w:caps w:val="0"/>
          <w:color w:val="555555"/>
          <w:sz w:val="20"/>
        </w:rPr>
        <w:t xml:space="preserve">02  </w:t>
      </w:r>
      <w:r>
        <w:rPr>
          <w:rFonts w:ascii="Arial" w:hAnsi="Arial"/>
          <w:b w:val="0"/>
          <w:i w:val="0"/>
          <w:caps w:val="0"/>
          <w:color w:val="0D0D0D"/>
          <w:sz w:val="22"/>
        </w:rPr>
        <w:t>Reunión de alineación técnico-ejecutiva de 30 minutos con Vinicius y los decisores del proyecto.</w:t>
      </w:r>
    </w:p>
    <w:p>
      <w:pPr>
        <w:spacing w:after="180"/>
      </w:pPr>
      <w:r>
        <w:rPr>
          <w:rFonts w:ascii="Arial" w:hAnsi="Arial"/>
          <w:b/>
          <w:i w:val="0"/>
          <w:caps w:val="0"/>
          <w:color w:val="555555"/>
          <w:sz w:val="20"/>
        </w:rPr>
        <w:t xml:space="preserve">03  </w:t>
      </w:r>
      <w:r>
        <w:rPr>
          <w:rFonts w:ascii="Arial" w:hAnsi="Arial"/>
          <w:b w:val="0"/>
          <w:i w:val="0"/>
          <w:caps w:val="0"/>
          <w:color w:val="0D0D0D"/>
          <w:sz w:val="22"/>
        </w:rPr>
        <w:t>Firma del contrato y orden de servicio.</w:t>
      </w:r>
    </w:p>
    <w:p>
      <w:pPr>
        <w:spacing w:after="180"/>
      </w:pPr>
      <w:r>
        <w:rPr>
          <w:rFonts w:ascii="Arial" w:hAnsi="Arial"/>
          <w:b/>
          <w:i w:val="0"/>
          <w:caps w:val="0"/>
          <w:color w:val="555555"/>
          <w:sz w:val="20"/>
        </w:rPr>
        <w:t xml:space="preserve">04  </w:t>
      </w:r>
      <w:r>
        <w:rPr>
          <w:rFonts w:ascii="Arial" w:hAnsi="Arial"/>
          <w:b w:val="0"/>
          <w:i w:val="0"/>
          <w:caps w:val="0"/>
          <w:color w:val="0D0D0D"/>
          <w:sz w:val="22"/>
        </w:rPr>
        <w:t>Kickoff oficial hasta 10 días después de la firma.</w:t>
      </w:r>
    </w:p>
    <w:p>
      <w:pPr>
        <w:keepNext w:val="0"/>
        <w:spacing w:before="0" w:after="440" w:line="312" w:lineRule="auto"/>
        <w:jc w:val="left"/>
      </w:pPr>
      <w:r>
        <w:rPr>
          <w:rFonts w:ascii="Arial" w:hAnsi="Arial"/>
          <w:b w:val="0"/>
          <w:i w:val="0"/>
          <w:caps w:val="0"/>
          <w:color w:val="0D0D0D"/>
          <w:sz w:val="22"/>
        </w:rPr>
        <w:t>El soporte post-implementación está disponible como servicio opcional para acompañar la estabilización posterior al go-live.</w:t>
      </w:r>
    </w:p>
    <w:p>
      <w:pPr>
        <w:keepNext w:val="0"/>
        <w:spacing w:before="0" w:after="700" w:line="312" w:lineRule="auto"/>
        <w:jc w:val="left"/>
      </w:pPr>
      <w:r>
        <w:rPr>
          <w:rFonts w:ascii="Arial" w:hAnsi="Arial"/>
          <w:b/>
          <w:i w:val="0"/>
          <w:caps w:val="0"/>
          <w:color w:val="0D0D0D"/>
          <w:sz w:val="24"/>
        </w:rPr>
        <w:t>Comencemos →</w:t>
      </w:r>
    </w:p>
    <w:p>
      <w:pPr>
        <w:spacing w:after="280"/>
        <w:pBdr>
          <w:bottom w:val="single" w:sz="6" w:space="8" w:color="0D0D0D"/>
        </w:pBdr>
      </w:pPr>
    </w:p>
    <w:p>
      <w:pPr>
        <w:keepNext w:val="0"/>
        <w:spacing w:before="0" w:after="20" w:line="312" w:lineRule="auto"/>
        <w:jc w:val="left"/>
      </w:pPr>
      <w:r>
        <w:rPr>
          <w:rFonts w:ascii="Arial" w:hAnsi="Arial"/>
          <w:b/>
          <w:i w:val="0"/>
          <w:caps w:val="0"/>
          <w:color w:val="0D0D0D"/>
          <w:sz w:val="22"/>
        </w:rPr>
        <w:t>Leon</w:t>
      </w:r>
    </w:p>
    <w:p>
      <w:pPr>
        <w:keepNext w:val="0"/>
        <w:spacing w:before="0" w:after="20" w:line="312" w:lineRule="auto"/>
        <w:jc w:val="left"/>
      </w:pPr>
      <w:r>
        <w:rPr>
          <w:rFonts w:ascii="Arial" w:hAnsi="Arial"/>
          <w:b w:val="0"/>
          <w:i w:val="0"/>
          <w:caps w:val="0"/>
          <w:color w:val="555555"/>
          <w:sz w:val="20"/>
        </w:rPr>
        <w:t>Consultor responsable</w:t>
      </w:r>
    </w:p>
    <w:p>
      <w:pPr>
        <w:keepNext w:val="0"/>
        <w:spacing w:before="0" w:after="20" w:line="312" w:lineRule="auto"/>
        <w:jc w:val="left"/>
      </w:pPr>
      <w:r>
        <w:rPr>
          <w:rFonts w:ascii="Arial" w:hAnsi="Arial"/>
          <w:b w:val="0"/>
          <w:i w:val="0"/>
          <w:caps w:val="0"/>
          <w:color w:val="0D0D0D"/>
          <w:sz w:val="20"/>
        </w:rPr>
        <w:t>ARI CONSULTING</w:t>
      </w:r>
    </w:p>
    <w:p>
      <w:pPr>
        <w:keepNext w:val="0"/>
        <w:spacing w:before="0" w:after="20" w:line="312" w:lineRule="auto"/>
        <w:jc w:val="left"/>
      </w:pPr>
      <w:r>
        <w:rPr>
          <w:rFonts w:ascii="Arial" w:hAnsi="Arial"/>
          <w:b w:val="0"/>
          <w:i w:val="0"/>
          <w:caps w:val="0"/>
          <w:color w:val="0D0D0D"/>
          <w:sz w:val="20"/>
        </w:rPr>
        <w:t>Ciudad de México</w:t>
      </w:r>
    </w:p>
    <w:p>
      <w:pPr>
        <w:keepNext w:val="0"/>
        <w:spacing w:before="0" w:after="0" w:line="312" w:lineRule="auto"/>
        <w:jc w:val="left"/>
      </w:pPr>
      <w:r>
        <w:rPr>
          <w:rFonts w:ascii="Arial" w:hAnsi="Arial"/>
          <w:b w:val="0"/>
          <w:i w:val="0"/>
          <w:caps w:val="0"/>
          <w:color w:val="0D0D0D"/>
          <w:sz w:val="20"/>
        </w:rPr>
        <w:t>leon@ariconsulting.com.mx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3C7EF18AA1694F8D22666414AFBF49" ma:contentTypeVersion="14" ma:contentTypeDescription="Crie um novo documento." ma:contentTypeScope="" ma:versionID="551b41f358fadbd2f64b11a33e8beaa5">
  <xsd:schema xmlns:xsd="http://www.w3.org/2001/XMLSchema" xmlns:xs="http://www.w3.org/2001/XMLSchema" xmlns:p="http://schemas.microsoft.com/office/2006/metadata/properties" xmlns:ns2="a71ccb9b-6e14-42cb-bb7f-4a7eed2524ef" xmlns:ns3="a7f4a7b7-966e-48e5-a98f-43d258599049" targetNamespace="http://schemas.microsoft.com/office/2006/metadata/properties" ma:root="true" ma:fieldsID="985fd29bf7c618b73b0bad9698733ffa" ns2:_="" ns3:_="">
    <xsd:import namespace="a71ccb9b-6e14-42cb-bb7f-4a7eed2524ef"/>
    <xsd:import namespace="a7f4a7b7-966e-48e5-a98f-43d2585990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ccb9b-6e14-42cb-bb7f-4a7eed2524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f4a7b7-966e-48e5-a98f-43d25859904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13490ee-2866-4fa6-adf5-3d08f67af8ac}" ma:internalName="TaxCatchAll" ma:showField="CatchAllData" ma:web="a7f4a7b7-966e-48e5-a98f-43d2585990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f4a7b7-966e-48e5-a98f-43d258599049" xsi:nil="true"/>
    <lcf76f155ced4ddcb4097134ff3c332f xmlns="a71ccb9b-6e14-42cb-bb7f-4a7eed2524e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672F29-DEDF-4071-9AD4-23E6F1F07132}"/>
</file>

<file path=customXml/itemProps3.xml><?xml version="1.0" encoding="utf-8"?>
<ds:datastoreItem xmlns:ds="http://schemas.openxmlformats.org/officeDocument/2006/customXml" ds:itemID="{604236B7-AD64-4F34-A689-29B6B5EBE43F}"/>
</file>

<file path=customXml/itemProps4.xml><?xml version="1.0" encoding="utf-8"?>
<ds:datastoreItem xmlns:ds="http://schemas.openxmlformats.org/officeDocument/2006/customXml" ds:itemID="{D13345D8-4474-4EAB-ACB7-29558B9DFF9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0x010100C43C7EF18AA1694F8D22666414AFBF49</vt:lpwstr>
  </property>
  <property fmtid="{D5CDD505-2E9C-101B-9397-08002B2CF9AE}" pid="3" name="MediaServiceImageTags">
    <vt:lpwstr/>
  </property>
</Properties>
</file>