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000" w:type="dxa"/>
        <w:gridCol w:w="400" w:type="dxa"/>
        <w:gridCol w:w="400" w:type="dxa"/>
        <w:gridCol w:w="400" w:type="dxa"/>
        <w:gridCol w:w="400" w:type="dxa"/>
        <w:gridCol w:w="400" w:type="dxa"/>
      </w:tblGrid>
      <w:tblPr>
        <w:tblStyle w:val="Fancy Table"/>
      </w:tblPr>
      <w:tr>
        <w:trPr>
          <w:trHeight w:val="300" w:hRule="exact"/>
        </w:trPr>
        <w:tc>
          <w:tcPr>
            <w:tcW w:w="10000" w:type="dxa"/>
            <w:vAlign w:val="center"/>
            <w:shd w:val="clear" w:fill="E36C0A"/>
          </w:tcPr>
          <w:p>
            <w:pPr/>
            <w:r>
              <w:rPr>
                <w:color w:val="ffffff"/>
                <w:sz w:val="10"/>
                <w:szCs w:val="10"/>
                <w:b/>
                <w:bCs/>
              </w:rPr>
              <w:t xml:space="preserve">TOP 5 Current Schedule Variances</w:t>
            </w:r>
          </w:p>
        </w:tc>
        <w:tc>
          <w:tcPr>
            <w:tcW w:w="400" w:type="dxa"/>
            <w:vAlign w:val="center"/>
            <w:shd w:val="clear" w:fill="E36C0A"/>
          </w:tcPr>
          <w:p>
            <w:pPr/>
            <w:r>
              <w:rPr>
                <w:color w:val="ffffff"/>
                <w:sz w:val="10"/>
                <w:szCs w:val="10"/>
                <w:b/>
                <w:bCs/>
              </w:rPr>
              <w:t xml:space="preserve">Budget </w:t>
            </w:r>
          </w:p>
        </w:tc>
        <w:tc>
          <w:tcPr>
            <w:tcW w:w="400" w:type="dxa"/>
            <w:vAlign w:val="center"/>
            <w:shd w:val="clear" w:fill="E36C0A"/>
          </w:tcPr>
          <w:p>
            <w:pPr/>
            <w:r>
              <w:rPr>
                <w:color w:val="ffffff"/>
                <w:sz w:val="10"/>
                <w:szCs w:val="10"/>
                <w:b/>
                <w:bCs/>
              </w:rPr>
              <w:t xml:space="preserve">Earned </w:t>
            </w:r>
          </w:p>
        </w:tc>
        <w:tc>
          <w:tcPr>
            <w:tcW w:w="400" w:type="dxa"/>
            <w:vAlign w:val="center"/>
            <w:shd w:val="clear" w:fill="E36C0A"/>
          </w:tcPr>
          <w:p>
            <w:pPr/>
            <w:r>
              <w:rPr>
                <w:color w:val="ffffff"/>
                <w:sz w:val="10"/>
                <w:szCs w:val="10"/>
                <w:b/>
                <w:bCs/>
              </w:rPr>
              <w:t xml:space="preserve">Variance</w:t>
            </w:r>
          </w:p>
        </w:tc>
        <w:tc>
          <w:tcPr>
            <w:tcW w:w="400" w:type="dxa"/>
            <w:vAlign w:val="center"/>
            <w:shd w:val="clear" w:fill="E36C0A"/>
          </w:tcPr>
          <w:p>
            <w:pPr/>
            <w:r>
              <w:rPr>
                <w:color w:val="ffffff"/>
                <w:sz w:val="10"/>
                <w:szCs w:val="10"/>
                <w:b/>
                <w:bCs/>
              </w:rPr>
              <w:t xml:space="preserve">SPI</w:t>
            </w:r>
          </w:p>
        </w:tc>
        <w:tc>
          <w:tcPr>
            <w:tcW w:w="400" w:type="dxa"/>
            <w:vAlign w:val="center"/>
            <w:shd w:val="clear" w:fill="E36C0A"/>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BD4B4"/>
          </w:tcPr>
          <w:p>
            <w:pPr>
              <w:jc w:val="right"/>
            </w:pPr>
            <w:r>
              <w:rPr>
                <w:color w:val="000000"/>
                <w:sz w:val="10"/>
                <w:szCs w:val="10"/>
              </w:rPr>
              <w:t xml:space="preserve">1</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FBD4B4"/>
          </w:tcPr>
          <w:p>
            <w:pPr>
              <w:jc w:val="right"/>
            </w:pPr>
            <w:r>
              <w:rPr>
                <w:color w:val="000000"/>
                <w:sz w:val="10"/>
                <w:szCs w:val="10"/>
              </w:rPr>
              <w:t xml:space="preserve">0.0000</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BD4B4"/>
          </w:tcPr>
          <w:p>
            <w:pPr>
              <w:jc w:val="right"/>
            </w:pPr>
            <w:r>
              <w:rPr>
                <w:color w:val="000000"/>
                <w:sz w:val="10"/>
                <w:szCs w:val="10"/>
              </w:rPr>
              <w:t xml:space="preserve">26</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-26</w:t>
            </w:r>
          </w:p>
        </w:tc>
        <w:tc>
          <w:tcPr>
            <w:tcW w:w="400" w:type="dxa"/>
            <w:vAlign w:val="center"/>
            <w:shd w:val="clear" w:fill="FBD4B4"/>
          </w:tcPr>
          <w:p>
            <w:pPr>
              <w:jc w:val="right"/>
            </w:pPr>
            <w:r>
              <w:rPr>
                <w:color w:val="000000"/>
                <w:sz w:val="10"/>
                <w:szCs w:val="10"/>
              </w:rPr>
              <w:t xml:space="preserve">0.0000</w:t>
            </w:r>
          </w:p>
        </w:tc>
        <w:tc>
          <w:tcPr>
            <w:tcW w:w="400" w:type="dxa"/>
            <w:vAlign w:val="center"/>
            <w:shd w:val="clear" w:fill="984806"/>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BD4B4"/>
          </w:tcPr>
          <w:p>
            <w:pPr>
              <w:jc w:val="right"/>
            </w:pPr>
            <w:r>
              <w:rPr>
                <w:color w:val="000000"/>
                <w:sz w:val="10"/>
                <w:szCs w:val="10"/>
              </w:rPr>
              <w:t xml:space="preserve">114</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-114</w:t>
            </w:r>
          </w:p>
        </w:tc>
        <w:tc>
          <w:tcPr>
            <w:tcW w:w="400" w:type="dxa"/>
            <w:vAlign w:val="center"/>
            <w:shd w:val="clear" w:fill="FBD4B4"/>
          </w:tcPr>
          <w:p>
            <w:pPr>
              <w:jc w:val="right"/>
            </w:pPr>
            <w:r>
              <w:rPr>
                <w:color w:val="000000"/>
                <w:sz w:val="10"/>
                <w:szCs w:val="10"/>
              </w:rPr>
              <w:t xml:space="preserve">0.0000</w:t>
            </w:r>
          </w:p>
        </w:tc>
        <w:tc>
          <w:tcPr>
            <w:tcW w:w="400" w:type="dxa"/>
            <w:vAlign w:val="center"/>
            <w:shd w:val="clear" w:fill="984806"/>
          </w:tcPr>
          <w:p>
            <w:pPr>
              <w:jc w:val="right"/>
            </w:pPr>
            <w:r>
              <w:rPr>
                <w:color w:val="ffffff"/>
                <w:sz w:val="10"/>
                <w:szCs w:val="10"/>
                <w:b/>
                <w:bCs/>
              </w:rPr>
              <w:t xml:space="preserve">2</w:t>
            </w:r>
          </w:p>
        </w:tc>
      </w:tr>
      <w:tr>
        <w:trPr>
          <w:trHeight w:val="200" w:hRule="exact"/>
        </w:trPr>
        <w:tc>
          <w:tcPr>
            <w:tcW w:w="10000" w:type="dxa"/>
            <w:vAlign w:val="center"/>
            <w:shd w:val="clear" w:fill="E36C0A"/>
          </w:tcPr>
          <w:p>
            <w:pPr/>
            <w:r>
              <w:rPr>
                <w:color w:val="ffffff"/>
                <w:sz w:val="10"/>
                <w:szCs w:val="10"/>
                <w:b/>
                <w:bCs/>
              </w:rPr>
              <w:t xml:space="preserve">Total</w:t>
            </w:r>
          </w:p>
        </w:tc>
        <w:tc>
          <w:tcPr>
            <w:tcW w:w="400" w:type="dxa"/>
            <w:vAlign w:val="center"/>
            <w:shd w:val="clear" w:fill="E36C0A"/>
          </w:tcPr>
          <w:p>
            <w:pPr>
              <w:jc w:val="center"/>
            </w:pPr>
            <w:r>
              <w:rPr>
                <w:color w:val="ffffff"/>
                <w:sz w:val="10"/>
                <w:szCs w:val="10"/>
                <w:b/>
                <w:bCs/>
              </w:rPr>
              <w:t xml:space="preserve">142</w:t>
            </w:r>
          </w:p>
        </w:tc>
        <w:tc>
          <w:tcPr>
            <w:tcW w:w="400" w:type="dxa"/>
            <w:vAlign w:val="center"/>
            <w:shd w:val="clear" w:fill="E36C0A"/>
          </w:tcPr>
          <w:p>
            <w:pPr>
              <w:jc w:val="center"/>
            </w:pPr>
            <w:r>
              <w:rPr>
                <w:color w:val="ffffff"/>
                <w:sz w:val="10"/>
                <w:szCs w:val="10"/>
                <w:b/>
                <w:bCs/>
              </w:rPr>
              <w:t xml:space="preserve">0</w:t>
            </w:r>
          </w:p>
        </w:tc>
        <w:tc>
          <w:tcPr>
            <w:tcW w:w="400" w:type="dxa"/>
            <w:vAlign w:val="center"/>
            <w:shd w:val="clear" w:fill="E36C0A"/>
          </w:tcPr>
          <w:p>
            <w:pPr>
              <w:jc w:val="center"/>
            </w:pPr>
            <w:r>
              <w:rPr>
                <w:color w:val="000000"/>
                <w:sz w:val="10"/>
                <w:szCs w:val="10"/>
              </w:rPr>
              <w:t xml:space="preserve">-142</w:t>
            </w:r>
          </w:p>
        </w:tc>
        <w:tc>
          <w:tcPr>
            <w:tcW w:w="400" w:type="dxa"/>
            <w:vAlign w:val="center"/>
            <w:shd w:val="clear" w:fill="E36C0A"/>
          </w:tcPr>
          <w:p>
            <w:pPr>
              <w:jc w:val="center"/>
            </w:pPr>
            <w:r>
              <w:rPr>
                <w:color w:val="ffffff"/>
                <w:sz w:val="10"/>
                <w:szCs w:val="10"/>
                <w:b/>
                <w:bCs/>
              </w:rPr>
              <w:t xml:space="preserve">0.00</w:t>
            </w:r>
          </w:p>
        </w:tc>
        <w:tc>
          <w:tcPr>
            <w:tcW w:w="400" w:type="dxa"/>
            <w:vAlign w:val="center"/>
            <w:shd w:val="clear" w:fill="E36C0A"/>
          </w:tcPr>
          <w:p>
            <w:pPr>
              <w:jc w:val="center"/>
            </w:pPr>
            <w:r>
              <w:rPr>
                <w:color w:val="ffffff"/>
                <w:sz w:val="10"/>
                <w:szCs w:val="10"/>
                <w:b/>
                <w:bCs/>
              </w:rPr>
              <w:t xml:space="preserve"/>
            </w:r>
          </w:p>
        </w:tc>
      </w:tr>
    </w:tbl>
    <w:p>
      <w:pPr>
        <w:sectPr>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$50K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BCR 563, the scope of work for the PCO Operator on LCS 13 will be outsourced to Duke Marine up to delivery of the ship, The budget has moved with scope in to a new control account and activity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$50K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BCR 563, the scope of work for the PCO Operator on LCS 13 will be outsourced to Duke Marine up to delivery of the ship, The budget has moved with scope in to a new control account and activity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$50K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BCR 563, the scope of work for the PCO Operator on LCS 13 will be outsourced to Duke Marine up to delivery of the ship, The budget has moved with scope in to a new control account and activity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1.16.3.2 Program Management Support and Material</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114,310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shd w:val="clear" w:fill="FF8080"/>
          </w:tcPr>
          <w:p>
            <w:pPr>
              <w:jc w:val="right"/>
            </w:pPr>
            <w:r>
              <w:rPr>
                <w:color w:val="FFFFFF"/>
                <w:sz w:val="14"/>
                <w:szCs w:val="14"/>
                <w:b/>
                <w:bCs/>
              </w:rPr>
              <w:t xml:space="preserve">(114)</w:t>
            </w:r>
          </w:p>
        </w:tc>
        <w:tc>
          <w:tcPr>
            <w:tcW w:w="1000" w:type="dxa"/>
          </w:tcPr>
          <w:p>
            <w:pPr/>
            <w:r>
              <w:rPr/>
              <w:t xml:space="preserve">-114310.818434</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(114)</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4,419,721</w:t>
            </w:r>
          </w:p>
        </w:tc>
        <w:tc>
          <w:tcPr>
            <w:tcW w:w="1000" w:type="dxa"/>
          </w:tcPr>
          <w:p>
            <w:pPr>
              <w:jc w:val="right"/>
            </w:pPr>
            <w:r>
              <w:rPr>
                <w:color w:val="000000"/>
                <w:sz w:val="14"/>
                <w:szCs w:val="14"/>
              </w:rPr>
              <w:t xml:space="preserve">4,136,652</w:t>
            </w:r>
          </w:p>
        </w:tc>
        <w:tc>
          <w:tcPr>
            <w:tcW w:w="1000" w:type="dxa"/>
          </w:tcPr>
          <w:p>
            <w:pPr>
              <w:jc w:val="right"/>
            </w:pPr>
            <w:r>
              <w:rPr>
                <w:color w:val="000000"/>
                <w:sz w:val="14"/>
                <w:szCs w:val="14"/>
              </w:rPr>
              <w:t xml:space="preserve">6,136,344</w:t>
            </w:r>
          </w:p>
        </w:tc>
        <w:tc>
          <w:tcPr>
            <w:tcW w:w="1000" w:type="dxa"/>
            <w:vAlign w:val="center"/>
            <w:shd w:val="clear" w:fill="FF8080"/>
          </w:tcPr>
          <w:p>
            <w:pPr>
              <w:jc w:val="right"/>
            </w:pPr>
            <w:r>
              <w:rPr>
                <w:color w:val="FFFFFF"/>
                <w:sz w:val="14"/>
                <w:szCs w:val="14"/>
                <w:b/>
                <w:bCs/>
              </w:rPr>
              <w:t xml:space="preserve">(283)</w:t>
            </w:r>
          </w:p>
        </w:tc>
        <w:tc>
          <w:tcPr>
            <w:tcW w:w="1000" w:type="dxa"/>
          </w:tcPr>
          <w:p>
            <w:pPr>
              <w:jc w:val="right"/>
            </w:pPr>
            <w:r>
              <w:rPr>
                <w:color w:val="000000"/>
                <w:sz w:val="14"/>
                <w:szCs w:val="14"/>
              </w:rPr>
              <w:t xml:space="preserve">(283)</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4,565,466</w:t>
            </w:r>
          </w:p>
        </w:tc>
        <w:tc>
          <w:tcPr>
            <w:tcW w:w="1000" w:type="dxa"/>
          </w:tcPr>
          <w:p>
            <w:pPr>
              <w:jc w:val="right"/>
            </w:pPr>
            <w:r>
              <w:rPr>
                <w:color w:val="000000"/>
                <w:sz w:val="14"/>
                <w:szCs w:val="14"/>
              </w:rPr>
              <w:t xml:space="preserve">7,670,864</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7,670,864</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1.16.1.2 CWBS Group 200:  Propulsion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15,117,333</w:t>
            </w:r>
          </w:p>
        </w:tc>
        <w:tc>
          <w:tcPr>
            <w:tcW w:w="1000" w:type="dxa"/>
          </w:tcPr>
          <w:p>
            <w:pPr>
              <w:jc w:val="right"/>
            </w:pPr>
            <w:r>
              <w:rPr>
                <w:color w:val="000000"/>
                <w:sz w:val="14"/>
                <w:szCs w:val="14"/>
              </w:rPr>
              <w:t xml:space="preserve">20,933,231</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(5)</w:t>
            </w:r>
          </w:p>
        </w:tc>
        <w:tc>
          <w:tcPr>
            <w:tcW w:w="1000" w:type="dxa"/>
          </w:tcPr>
          <w:p>
            <w:pPr>
              <w:jc w:val="right"/>
            </w:pPr>
            <w:r>
              <w:rPr>
                <w:color w:val="000000"/>
                <w:sz w:val="14"/>
                <w:szCs w:val="14"/>
              </w:rPr>
              <w:t xml:space="preserve">(5)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22,762,193</w:t>
            </w:r>
          </w:p>
        </w:tc>
        <w:tc>
          <w:tcPr>
            <w:tcW w:w="1000" w:type="dxa"/>
            <w:vAlign w:val="center"/>
            <w:shd w:val="clear" w:fill="FF8080"/>
          </w:tcPr>
          <w:p>
            <w:pPr>
              <w:jc w:val="right"/>
            </w:pPr>
            <w:r>
              <w:rPr>
                <w:color w:val="FFFFFF"/>
                <w:sz w:val="14"/>
                <w:szCs w:val="14"/>
                <w:b/>
                <w:bCs/>
              </w:rPr>
              <w:t xml:space="preserve">(6)</w:t>
            </w:r>
          </w:p>
        </w:tc>
        <w:tc>
          <w:tcPr>
            <w:tcW w:w="1000" w:type="dxa"/>
          </w:tcPr>
          <w:p>
            <w:pPr>
              <w:jc w:val="right"/>
            </w:pPr>
            <w:r>
              <w:rPr>
                <w:color w:val="000000"/>
                <w:sz w:val="14"/>
                <w:szCs w:val="14"/>
              </w:rPr>
              <w:t xml:space="preserve">(6)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22,762,193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1.16.1.2.241.301 / 301 SWBS 241 Propulsion Reduction Gears Material</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$23K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the machining of the red gear foundation being completed later than what was originally planned. This work was budgeted in a previous period but due to overall delays in the ships build and a shift in schedule to the right, it was reforecasted to be completed in later periods. This current period positive is eroding the negative cumulative schedule variance for this activity.</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as this current positive is correcting the cumulative negative for this activity.</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any milestones.</w:t>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CUR COST VAR"/>
      </w:tblPr>
      <w:tr>
        <w:trPr>
          <w:trHeight w:val="300" w:hRule="exact"/>
        </w:trPr>
        <w:tc>
          <w:tcPr>
            <w:tcW w:w="10000" w:type="dxa"/>
            <w:vAlign w:val="center"/>
            <w:shd w:val="clear" w:fill="943634"/>
          </w:tcPr>
          <w:p>
            <w:pPr/>
            <w:r>
              <w:rPr>
                <w:color w:val="ffffff"/>
                <w:sz w:val="10"/>
                <w:szCs w:val="10"/>
                <w:b/>
                <w:bCs/>
              </w:rPr>
              <w:t xml:space="preserve">TOP 5 Current Cost Variances</w:t>
            </w:r>
          </w:p>
        </w:tc>
        <w:tc>
          <w:tcPr>
            <w:tcW w:w="400" w:type="dxa"/>
            <w:vAlign w:val="center"/>
            <w:shd w:val="clear" w:fill="943634"/>
          </w:tcPr>
          <w:p>
            <w:pPr/>
            <w:r>
              <w:rPr>
                <w:color w:val="ffffff"/>
                <w:sz w:val="10"/>
                <w:szCs w:val="10"/>
                <w:b/>
                <w:bCs/>
              </w:rPr>
              <w:t xml:space="preserve">ACWP </w:t>
            </w:r>
          </w:p>
        </w:tc>
        <w:tc>
          <w:tcPr>
            <w:tcW w:w="400" w:type="dxa"/>
            <w:vAlign w:val="center"/>
            <w:shd w:val="clear" w:fill="943634"/>
          </w:tcPr>
          <w:p>
            <w:pPr/>
            <w:r>
              <w:rPr>
                <w:color w:val="ffffff"/>
                <w:sz w:val="10"/>
                <w:szCs w:val="10"/>
                <w:b/>
                <w:bCs/>
              </w:rPr>
              <w:t xml:space="preserve">BCWP</w:t>
            </w:r>
          </w:p>
        </w:tc>
        <w:tc>
          <w:tcPr>
            <w:tcW w:w="400" w:type="dxa"/>
            <w:vAlign w:val="center"/>
            <w:shd w:val="clear" w:fill="943634"/>
          </w:tcPr>
          <w:p>
            <w:pPr/>
            <w:r>
              <w:rPr>
                <w:color w:val="ffffff"/>
                <w:sz w:val="10"/>
                <w:szCs w:val="10"/>
                <w:b/>
                <w:bCs/>
              </w:rPr>
              <w:t xml:space="preserve">Variance</w:t>
            </w:r>
          </w:p>
        </w:tc>
        <w:tc>
          <w:tcPr>
            <w:tcW w:w="400" w:type="dxa"/>
            <w:vAlign w:val="center"/>
            <w:shd w:val="clear" w:fill="943634"/>
          </w:tcPr>
          <w:p>
            <w:pPr/>
            <w:r>
              <w:rPr>
                <w:color w:val="ffffff"/>
                <w:sz w:val="10"/>
                <w:szCs w:val="10"/>
                <w:b/>
                <w:bCs/>
              </w:rPr>
              <w:t xml:space="preserve">CPI</w:t>
            </w:r>
          </w:p>
        </w:tc>
        <w:tc>
          <w:tcPr>
            <w:tcW w:w="400" w:type="dxa"/>
            <w:vAlign w:val="center"/>
            <w:shd w:val="clear" w:fill="943634"/>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943634"/>
          </w:tcPr>
          <w:p>
            <w:pPr/>
            <w:r>
              <w:rPr>
                <w:color w:val="ffffff"/>
                <w:sz w:val="10"/>
                <w:szCs w:val="10"/>
                <w:b/>
                <w:bCs/>
              </w:rPr>
              <w:t xml:space="preserve">Total</w:t>
            </w:r>
          </w:p>
        </w:tc>
        <w:tc>
          <w:tcPr>
            <w:tcW w:w="400" w:type="dxa"/>
            <w:vAlign w:val="center"/>
            <w:shd w:val="clear" w:fill="943634"/>
          </w:tcPr>
          <w:p>
            <w:pPr>
              <w:jc w:val="center"/>
            </w:pPr>
            <w:r>
              <w:rPr>
                <w:color w:val="ffffff"/>
                <w:sz w:val="10"/>
                <w:szCs w:val="10"/>
                <w:b/>
                <w:bCs/>
              </w:rPr>
              <w:t xml:space="preserve">0</w:t>
            </w:r>
          </w:p>
        </w:tc>
        <w:tc>
          <w:tcPr>
            <w:tcW w:w="400" w:type="dxa"/>
            <w:vAlign w:val="center"/>
            <w:shd w:val="clear" w:fill="943634"/>
          </w:tcPr>
          <w:p>
            <w:pPr>
              <w:jc w:val="center"/>
            </w:pPr>
            <w:r>
              <w:rPr>
                <w:color w:val="ffffff"/>
                <w:sz w:val="10"/>
                <w:szCs w:val="10"/>
                <w:b/>
                <w:bCs/>
              </w:rPr>
              <w:t xml:space="preserve">0</w:t>
            </w:r>
          </w:p>
        </w:tc>
        <w:tc>
          <w:tcPr>
            <w:tcW w:w="400" w:type="dxa"/>
            <w:vAlign w:val="center"/>
            <w:shd w:val="clear" w:fill="943634"/>
          </w:tcPr>
          <w:p>
            <w:pPr>
              <w:jc w:val="center"/>
            </w:pPr>
            <w:r>
              <w:rPr>
                <w:color w:val="000000"/>
                <w:sz w:val="10"/>
                <w:szCs w:val="10"/>
              </w:rPr>
              <w:t xml:space="preserve">0</w:t>
            </w:r>
          </w:p>
        </w:tc>
        <w:tc>
          <w:tcPr>
            <w:tcW w:w="400" w:type="dxa"/>
            <w:vAlign w:val="center"/>
            <w:shd w:val="clear" w:fill="943634"/>
          </w:tcPr>
          <w:p>
            <w:pPr>
              <w:jc w:val="center"/>
            </w:pPr>
            <w:r>
              <w:rPr>
                <w:color w:val="ffffff"/>
                <w:sz w:val="10"/>
                <w:szCs w:val="10"/>
                <w:b/>
                <w:bCs/>
              </w:rPr>
              <w:t xml:space="preserve">0.00</w:t>
            </w:r>
          </w:p>
        </w:tc>
        <w:tc>
          <w:tcPr>
            <w:tcW w:w="400" w:type="dxa"/>
            <w:vAlign w:val="center"/>
            <w:shd w:val="clear" w:fill="943634"/>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($66K)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unplanned change notices and CF's associated with this activity, that currently do not have any budget allocated to them so all work that is being done is at a negative cost to the project. Due to manning issues caused by moving FTE's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1.16.1.9.10.648 / 64810 Correct Paint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EHD Prior Ship Gig Pickup Paint. There are approximately 9 unplanned changes so all work that is being done is at a negative cost to the project. Due to FTE issues caused by moving resources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1.16.1.9.11.600 / 600 Temporary Services for Group 900</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($70K)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QWK SW Firewatch and QWM SW Temp Services, both of which are LOE's. The level of efforts vary according to the amount of firewatch and Temp Services required on the ship, since the budget is determined for the life of the ship there are many situations that may come up- unforseen- that cannot be determined when the baseline is established.  The decrease seen is primarily since the Helper trade responsible for the SW cleaning support was eliminated. The remaining budget and scope was added to the existing activities to clean up the area's that their department creates.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ship is near Trials and these level of efforts will not extend beyond trials.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have occurred and should not continue to see growth.</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($176K)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due to an increase in the level of supervision and the supervision overtime to support additional resources being applied in order to reduce the schedule variance and meet major milestones.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see growth as manufacturing supervision is required to get the ship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($66K)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unplanned change notices and CF's associated with this activity, that currently do not have any budget allocated to them so all work that is being done is at a negative cost to the project. Due to manning issues caused by moving FTE's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1.16.1.9.10.648 / 64810 Correct Paint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EHD Prior Ship Gig Pickup Paint. There are approximately 9 unplanned changes so all work that is being done is at a negative cost to the project. Due to FTE issues caused by moving resources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1.16.1.9.11.600 / 600 Temporary Services for Group 900</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($70K)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QWK SW Firewatch and QWM SW Temp Services, both of which are LOE's. The level of efforts vary according to the amount of firewatch and Temp Services required on the ship, since the budget is determined for the life of the ship there are many situations that may come up- unforseen- that cannot be determined when the baseline is established.  The decrease seen is primarily since the Helper trade responsible for the SW cleaning support was eliminated. The remaining budget and scope was added to the existing activities to clean up the area's that their department creates.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ship is near Trials and these level of efforts will not extend beyond trials.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have occurred and should not continue to see growth.</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($176K)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due to an increase in the level of supervision and the supervision overtime to support additional resources being applied in order to reduce the schedule variance and meet major milestones.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see growth as manufacturing supervision is required to get the ship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($66K)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unplanned change notices and CF's associated with this activity, that currently do not have any budget allocated to them so all work that is being done is at a negative cost to the project. Due to manning issues caused by moving FTE's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1.16.1.9.10.648 / 64810 Correct Paint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EHD Prior Ship Gig Pickup Paint. There are approximately 9 unplanned changes so all work that is being done is at a negative cost to the project. Due to FTE issues caused by moving resources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1.16.1.9.11.600 / 600 Temporary Services for Group 900</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($70K)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QWK SW Firewatch and QWM SW Temp Services, both of which are LOE's. The level of efforts vary according to the amount of firewatch and Temp Services required on the ship, since the budget is determined for the life of the ship there are many situations that may come up- unforseen- that cannot be determined when the baseline is established.  The decrease seen is primarily since the Helper trade responsible for the SW cleaning support was eliminated. The remaining budget and scope was added to the existing activities to clean up the area's that their department creates.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ship is near Trials and these level of efforts will not extend beyond trials.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have occurred and should not continue to see growth.</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($176K)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due to an increase in the level of supervision and the supervision overtime to support additional resources being applied in order to reduce the schedule variance and meet major milestones.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see growth as manufacturing supervision is required to get the ship to trials.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1.16.1.6 CWBS Group 600:  Outfitting and Furnishings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16,925,391</w:t>
            </w:r>
          </w:p>
        </w:tc>
        <w:tc>
          <w:tcPr>
            <w:tcW w:w="1000" w:type="dxa"/>
          </w:tcPr>
          <w:p>
            <w:pPr>
              <w:jc w:val="right"/>
            </w:pPr>
            <w:r>
              <w:rPr>
                <w:color w:val="000000"/>
                <w:sz w:val="14"/>
                <w:szCs w:val="14"/>
              </w:rPr>
              <w:t xml:space="preserve">24,959,389</w:t>
            </w:r>
          </w:p>
        </w:tc>
        <w:tc>
          <w:tcPr>
            <w:tcW w:w="1000" w:type="dxa"/>
            <w:vAlign w:val="center"/>
            <w:shd w:val="clear" w:fill="FF8080"/>
          </w:tcPr>
          <w:p>
            <w:pPr>
              <w:jc w:val="right"/>
            </w:pPr>
            <w:r>
              <w:rPr>
                <w:color w:val="FFFFFF"/>
                <w:sz w:val="14"/>
                <w:szCs w:val="14"/>
                <w:b/>
                <w:bCs/>
              </w:rPr>
              <w:t xml:space="preserve">(633)</w:t>
            </w:r>
          </w:p>
        </w:tc>
        <w:tc>
          <w:tcPr>
            <w:tcW w:w="1000" w:type="dxa"/>
          </w:tcPr>
          <w:p>
            <w:pPr>
              <w:jc w:val="right"/>
            </w:pPr>
            <w:r>
              <w:rPr>
                <w:color w:val="000000"/>
                <w:sz w:val="14"/>
                <w:szCs w:val="14"/>
              </w:rPr>
              <w:t xml:space="preserve">(633)</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25,759,348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25,759,348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1.16.1.3 CWBS Group 300:  Electrical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23,814,188</w:t>
            </w:r>
          </w:p>
        </w:tc>
        <w:tc>
          <w:tcPr>
            <w:tcW w:w="1000" w:type="dxa"/>
          </w:tcPr>
          <w:p>
            <w:pPr>
              <w:jc w:val="right"/>
            </w:pPr>
            <w:r>
              <w:rPr>
                <w:color w:val="000000"/>
                <w:sz w:val="14"/>
                <w:szCs w:val="14"/>
              </w:rPr>
              <w:t xml:space="preserve">27,716,489</w:t>
            </w:r>
          </w:p>
        </w:tc>
        <w:tc>
          <w:tcPr>
            <w:tcW w:w="1000" w:type="dxa"/>
            <w:vAlign w:val="center"/>
            <w:shd w:val="clear" w:fill="FF8080"/>
          </w:tcPr>
          <w:p>
            <w:pPr>
              <w:jc w:val="right"/>
            </w:pPr>
            <w:r>
              <w:rPr>
                <w:color w:val="FFFFFF"/>
                <w:sz w:val="14"/>
                <w:szCs w:val="14"/>
                <w:b/>
                <w:bCs/>
              </w:rPr>
              <w:t xml:space="preserve">(939)</w:t>
            </w:r>
          </w:p>
        </w:tc>
        <w:tc>
          <w:tcPr>
            <w:tcW w:w="1000" w:type="dxa"/>
          </w:tcPr>
          <w:p>
            <w:pPr>
              <w:jc w:val="right"/>
            </w:pPr>
            <w:r>
              <w:rPr>
                <w:color w:val="000000"/>
                <w:sz w:val="14"/>
                <w:szCs w:val="14"/>
              </w:rPr>
              <w:t xml:space="preserve">(939)</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28,962,723</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28,962,723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Fancy Table"/>
      </w:tblPr>
      <w:tr>
        <w:trPr>
          <w:trHeight w:val="300" w:hRule="exact"/>
        </w:trPr>
        <w:tc>
          <w:tcPr>
            <w:tcW w:w="10000" w:type="dxa"/>
            <w:vAlign w:val="center"/>
            <w:shd w:val="clear" w:fill="E36C0A"/>
          </w:tcPr>
          <w:p>
            <w:pPr/>
            <w:r>
              <w:rPr>
                <w:color w:val="ffffff"/>
                <w:sz w:val="10"/>
                <w:szCs w:val="10"/>
                <w:b/>
                <w:bCs/>
              </w:rPr>
              <w:t xml:space="preserve">TOP 5 Cumulative Schedule Variances</w:t>
            </w:r>
          </w:p>
        </w:tc>
        <w:tc>
          <w:tcPr>
            <w:tcW w:w="400" w:type="dxa"/>
            <w:vAlign w:val="center"/>
            <w:shd w:val="clear" w:fill="E36C0A"/>
          </w:tcPr>
          <w:p>
            <w:pPr/>
            <w:r>
              <w:rPr>
                <w:color w:val="ffffff"/>
                <w:sz w:val="10"/>
                <w:szCs w:val="10"/>
                <w:b/>
                <w:bCs/>
              </w:rPr>
              <w:t xml:space="preserve">Budget </w:t>
            </w:r>
          </w:p>
        </w:tc>
        <w:tc>
          <w:tcPr>
            <w:tcW w:w="400" w:type="dxa"/>
            <w:vAlign w:val="center"/>
            <w:shd w:val="clear" w:fill="E36C0A"/>
          </w:tcPr>
          <w:p>
            <w:pPr/>
            <w:r>
              <w:rPr>
                <w:color w:val="ffffff"/>
                <w:sz w:val="10"/>
                <w:szCs w:val="10"/>
                <w:b/>
                <w:bCs/>
              </w:rPr>
              <w:t xml:space="preserve">Earned </w:t>
            </w:r>
          </w:p>
        </w:tc>
        <w:tc>
          <w:tcPr>
            <w:tcW w:w="400" w:type="dxa"/>
            <w:vAlign w:val="center"/>
            <w:shd w:val="clear" w:fill="E36C0A"/>
          </w:tcPr>
          <w:p>
            <w:pPr/>
            <w:r>
              <w:rPr>
                <w:color w:val="ffffff"/>
                <w:sz w:val="10"/>
                <w:szCs w:val="10"/>
                <w:b/>
                <w:bCs/>
              </w:rPr>
              <w:t xml:space="preserve">Variance</w:t>
            </w:r>
          </w:p>
        </w:tc>
        <w:tc>
          <w:tcPr>
            <w:tcW w:w="400" w:type="dxa"/>
            <w:vAlign w:val="center"/>
            <w:shd w:val="clear" w:fill="E36C0A"/>
          </w:tcPr>
          <w:p>
            <w:pPr/>
            <w:r>
              <w:rPr>
                <w:color w:val="ffffff"/>
                <w:sz w:val="10"/>
                <w:szCs w:val="10"/>
                <w:b/>
                <w:bCs/>
              </w:rPr>
              <w:t xml:space="preserve">SPI</w:t>
            </w:r>
          </w:p>
        </w:tc>
        <w:tc>
          <w:tcPr>
            <w:tcW w:w="400" w:type="dxa"/>
            <w:vAlign w:val="center"/>
            <w:shd w:val="clear" w:fill="E36C0A"/>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BD4B4"/>
          </w:tcPr>
          <w:p>
            <w:pPr>
              <w:jc w:val="right"/>
            </w:pPr>
            <w:r>
              <w:rPr>
                <w:color w:val="000000"/>
                <w:sz w:val="10"/>
                <w:szCs w:val="10"/>
              </w:rPr>
              <w:t xml:space="preserve">34031</w:t>
            </w:r>
          </w:p>
        </w:tc>
        <w:tc>
          <w:tcPr>
            <w:tcW w:w="400" w:type="dxa"/>
            <w:vAlign w:val="center"/>
            <w:shd w:val="clear" w:fill="FBD4B4"/>
          </w:tcPr>
          <w:p>
            <w:pPr>
              <w:jc w:val="right"/>
            </w:pPr>
            <w:r>
              <w:rPr>
                <w:color w:val="000000"/>
                <w:sz w:val="10"/>
                <w:szCs w:val="10"/>
              </w:rPr>
              <w:t xml:space="preserve">33755</w:t>
            </w:r>
          </w:p>
        </w:tc>
        <w:tc>
          <w:tcPr>
            <w:tcW w:w="400" w:type="dxa"/>
            <w:vAlign w:val="center"/>
            <w:shd w:val="clear" w:fill="FBD4B4"/>
          </w:tcPr>
          <w:p>
            <w:pPr>
              <w:jc w:val="right"/>
            </w:pPr>
            <w:r>
              <w:rPr>
                <w:color w:val="000000"/>
                <w:sz w:val="10"/>
                <w:szCs w:val="10"/>
              </w:rPr>
              <w:t xml:space="preserve">-275</w:t>
            </w:r>
          </w:p>
        </w:tc>
        <w:tc>
          <w:tcPr>
            <w:tcW w:w="400" w:type="dxa"/>
            <w:vAlign w:val="center"/>
            <w:shd w:val="clear" w:fill="FBD4B4"/>
          </w:tcPr>
          <w:p>
            <w:pPr>
              <w:jc w:val="right"/>
            </w:pPr>
            <w:r>
              <w:rPr>
                <w:color w:val="000000"/>
                <w:sz w:val="10"/>
                <w:szCs w:val="10"/>
              </w:rPr>
              <w:t xml:space="preserve">0.9919</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BD4B4"/>
          </w:tcPr>
          <w:p>
            <w:pPr>
              <w:jc w:val="right"/>
            </w:pPr>
            <w:r>
              <w:rPr>
                <w:color w:val="000000"/>
                <w:sz w:val="10"/>
                <w:szCs w:val="10"/>
              </w:rPr>
              <w:t xml:space="preserve">16542</w:t>
            </w:r>
          </w:p>
        </w:tc>
        <w:tc>
          <w:tcPr>
            <w:tcW w:w="400" w:type="dxa"/>
            <w:vAlign w:val="center"/>
            <w:shd w:val="clear" w:fill="FBD4B4"/>
          </w:tcPr>
          <w:p>
            <w:pPr>
              <w:jc w:val="right"/>
            </w:pPr>
            <w:r>
              <w:rPr>
                <w:color w:val="000000"/>
                <w:sz w:val="10"/>
                <w:szCs w:val="10"/>
              </w:rPr>
              <w:t xml:space="preserve">15117</w:t>
            </w:r>
          </w:p>
        </w:tc>
        <w:tc>
          <w:tcPr>
            <w:tcW w:w="400" w:type="dxa"/>
            <w:vAlign w:val="center"/>
            <w:shd w:val="clear" w:fill="FBD4B4"/>
          </w:tcPr>
          <w:p>
            <w:pPr>
              <w:jc w:val="right"/>
            </w:pPr>
            <w:r>
              <w:rPr>
                <w:color w:val="000000"/>
                <w:sz w:val="10"/>
                <w:szCs w:val="10"/>
              </w:rPr>
              <w:t xml:space="preserve">-1425</w:t>
            </w:r>
          </w:p>
        </w:tc>
        <w:tc>
          <w:tcPr>
            <w:tcW w:w="400" w:type="dxa"/>
            <w:vAlign w:val="center"/>
            <w:shd w:val="clear" w:fill="FBD4B4"/>
          </w:tcPr>
          <w:p>
            <w:pPr>
              <w:jc w:val="right"/>
            </w:pPr>
            <w:r>
              <w:rPr>
                <w:color w:val="000000"/>
                <w:sz w:val="10"/>
                <w:szCs w:val="10"/>
              </w:rPr>
              <w:t xml:space="preserve">0.9138</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BD4B4"/>
          </w:tcPr>
          <w:p>
            <w:pPr>
              <w:jc w:val="right"/>
            </w:pPr>
            <w:r>
              <w:rPr>
                <w:color w:val="000000"/>
                <w:sz w:val="10"/>
                <w:szCs w:val="10"/>
              </w:rPr>
              <w:t xml:space="preserve">24753</w:t>
            </w:r>
          </w:p>
        </w:tc>
        <w:tc>
          <w:tcPr>
            <w:tcW w:w="400" w:type="dxa"/>
            <w:vAlign w:val="center"/>
            <w:shd w:val="clear" w:fill="FBD4B4"/>
          </w:tcPr>
          <w:p>
            <w:pPr>
              <w:jc w:val="right"/>
            </w:pPr>
            <w:r>
              <w:rPr>
                <w:color w:val="000000"/>
                <w:sz w:val="10"/>
                <w:szCs w:val="10"/>
              </w:rPr>
              <w:t xml:space="preserve">23814</w:t>
            </w:r>
          </w:p>
        </w:tc>
        <w:tc>
          <w:tcPr>
            <w:tcW w:w="400" w:type="dxa"/>
            <w:vAlign w:val="center"/>
            <w:shd w:val="clear" w:fill="FBD4B4"/>
          </w:tcPr>
          <w:p>
            <w:pPr>
              <w:jc w:val="right"/>
            </w:pPr>
            <w:r>
              <w:rPr>
                <w:color w:val="000000"/>
                <w:sz w:val="10"/>
                <w:szCs w:val="10"/>
              </w:rPr>
              <w:t xml:space="preserve">-939</w:t>
            </w:r>
          </w:p>
        </w:tc>
        <w:tc>
          <w:tcPr>
            <w:tcW w:w="400" w:type="dxa"/>
            <w:vAlign w:val="center"/>
            <w:shd w:val="clear" w:fill="FBD4B4"/>
          </w:tcPr>
          <w:p>
            <w:pPr>
              <w:jc w:val="right"/>
            </w:pPr>
            <w:r>
              <w:rPr>
                <w:color w:val="000000"/>
                <w:sz w:val="10"/>
                <w:szCs w:val="10"/>
              </w:rPr>
              <w:t xml:space="preserve">0.9620</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BD4B4"/>
          </w:tcPr>
          <w:p>
            <w:pPr>
              <w:jc w:val="right"/>
            </w:pPr>
            <w:r>
              <w:rPr>
                <w:color w:val="000000"/>
                <w:sz w:val="10"/>
                <w:szCs w:val="10"/>
              </w:rPr>
              <w:t xml:space="preserve">3713</w:t>
            </w:r>
          </w:p>
        </w:tc>
        <w:tc>
          <w:tcPr>
            <w:tcW w:w="400" w:type="dxa"/>
            <w:vAlign w:val="center"/>
            <w:shd w:val="clear" w:fill="FBD4B4"/>
          </w:tcPr>
          <w:p>
            <w:pPr>
              <w:jc w:val="right"/>
            </w:pPr>
            <w:r>
              <w:rPr>
                <w:color w:val="000000"/>
                <w:sz w:val="10"/>
                <w:szCs w:val="10"/>
              </w:rPr>
              <w:t xml:space="preserve">3623</w:t>
            </w:r>
          </w:p>
        </w:tc>
        <w:tc>
          <w:tcPr>
            <w:tcW w:w="400" w:type="dxa"/>
            <w:vAlign w:val="center"/>
            <w:shd w:val="clear" w:fill="FBD4B4"/>
          </w:tcPr>
          <w:p>
            <w:pPr>
              <w:jc w:val="right"/>
            </w:pPr>
            <w:r>
              <w:rPr>
                <w:color w:val="000000"/>
                <w:sz w:val="10"/>
                <w:szCs w:val="10"/>
              </w:rPr>
              <w:t xml:space="preserve">-90</w:t>
            </w:r>
          </w:p>
        </w:tc>
        <w:tc>
          <w:tcPr>
            <w:tcW w:w="400" w:type="dxa"/>
            <w:vAlign w:val="center"/>
            <w:shd w:val="clear" w:fill="FBD4B4"/>
          </w:tcPr>
          <w:p>
            <w:pPr>
              <w:jc w:val="right"/>
            </w:pPr>
            <w:r>
              <w:rPr>
                <w:color w:val="000000"/>
                <w:sz w:val="10"/>
                <w:szCs w:val="10"/>
              </w:rPr>
              <w:t xml:space="preserve">0.9757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BD4B4"/>
          </w:tcPr>
          <w:p>
            <w:pPr>
              <w:jc w:val="right"/>
            </w:pPr>
            <w:r>
              <w:rPr>
                <w:color w:val="000000"/>
                <w:sz w:val="10"/>
                <w:szCs w:val="10"/>
              </w:rPr>
              <w:t xml:space="preserve">34893</w:t>
            </w:r>
          </w:p>
        </w:tc>
        <w:tc>
          <w:tcPr>
            <w:tcW w:w="400" w:type="dxa"/>
            <w:vAlign w:val="center"/>
            <w:shd w:val="clear" w:fill="FBD4B4"/>
          </w:tcPr>
          <w:p>
            <w:pPr>
              <w:jc w:val="right"/>
            </w:pPr>
            <w:r>
              <w:rPr>
                <w:color w:val="000000"/>
                <w:sz w:val="10"/>
                <w:szCs w:val="10"/>
              </w:rPr>
              <w:t xml:space="preserve">33593</w:t>
            </w:r>
          </w:p>
        </w:tc>
        <w:tc>
          <w:tcPr>
            <w:tcW w:w="400" w:type="dxa"/>
            <w:vAlign w:val="center"/>
            <w:shd w:val="clear" w:fill="FBD4B4"/>
          </w:tcPr>
          <w:p>
            <w:pPr>
              <w:jc w:val="right"/>
            </w:pPr>
            <w:r>
              <w:rPr>
                <w:color w:val="000000"/>
                <w:sz w:val="10"/>
                <w:szCs w:val="10"/>
              </w:rPr>
              <w:t xml:space="preserve">-1300</w:t>
            </w:r>
          </w:p>
        </w:tc>
        <w:tc>
          <w:tcPr>
            <w:tcW w:w="400" w:type="dxa"/>
            <w:vAlign w:val="center"/>
            <w:shd w:val="clear" w:fill="FBD4B4"/>
          </w:tcPr>
          <w:p>
            <w:pPr>
              <w:jc w:val="right"/>
            </w:pPr>
            <w:r>
              <w:rPr>
                <w:color w:val="000000"/>
                <w:sz w:val="10"/>
                <w:szCs w:val="10"/>
              </w:rPr>
              <w:t xml:space="preserve">0.9627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BD4B4"/>
          </w:tcPr>
          <w:p>
            <w:pPr>
              <w:jc w:val="right"/>
            </w:pPr>
            <w:r>
              <w:rPr>
                <w:color w:val="000000"/>
                <w:sz w:val="10"/>
                <w:szCs w:val="10"/>
              </w:rPr>
              <w:t xml:space="preserve">17558</w:t>
            </w:r>
          </w:p>
        </w:tc>
        <w:tc>
          <w:tcPr>
            <w:tcW w:w="400" w:type="dxa"/>
            <w:vAlign w:val="center"/>
            <w:shd w:val="clear" w:fill="FBD4B4"/>
          </w:tcPr>
          <w:p>
            <w:pPr>
              <w:jc w:val="right"/>
            </w:pPr>
            <w:r>
              <w:rPr>
                <w:color w:val="000000"/>
                <w:sz w:val="10"/>
                <w:szCs w:val="10"/>
              </w:rPr>
              <w:t xml:space="preserve">16925</w:t>
            </w:r>
          </w:p>
        </w:tc>
        <w:tc>
          <w:tcPr>
            <w:tcW w:w="400" w:type="dxa"/>
            <w:vAlign w:val="center"/>
            <w:shd w:val="clear" w:fill="FBD4B4"/>
          </w:tcPr>
          <w:p>
            <w:pPr>
              <w:jc w:val="right"/>
            </w:pPr>
            <w:r>
              <w:rPr>
                <w:color w:val="000000"/>
                <w:sz w:val="10"/>
                <w:szCs w:val="10"/>
              </w:rPr>
              <w:t xml:space="preserve">-633</w:t>
            </w:r>
          </w:p>
        </w:tc>
        <w:tc>
          <w:tcPr>
            <w:tcW w:w="400" w:type="dxa"/>
            <w:vAlign w:val="center"/>
            <w:shd w:val="clear" w:fill="FBD4B4"/>
          </w:tcPr>
          <w:p>
            <w:pPr>
              <w:jc w:val="right"/>
            </w:pPr>
            <w:r>
              <w:rPr>
                <w:color w:val="000000"/>
                <w:sz w:val="10"/>
                <w:szCs w:val="10"/>
              </w:rPr>
              <w:t xml:space="preserve">0.9639</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BD4B4"/>
          </w:tcPr>
          <w:p>
            <w:pPr>
              <w:jc w:val="right"/>
            </w:pPr>
            <w:r>
              <w:rPr>
                <w:color w:val="000000"/>
                <w:sz w:val="10"/>
                <w:szCs w:val="10"/>
              </w:rPr>
              <w:t xml:space="preserve">390</w:t>
            </w:r>
          </w:p>
        </w:tc>
        <w:tc>
          <w:tcPr>
            <w:tcW w:w="400" w:type="dxa"/>
            <w:vAlign w:val="center"/>
            <w:shd w:val="clear" w:fill="FBD4B4"/>
          </w:tcPr>
          <w:p>
            <w:pPr>
              <w:jc w:val="right"/>
            </w:pPr>
            <w:r>
              <w:rPr>
                <w:color w:val="000000"/>
                <w:sz w:val="10"/>
                <w:szCs w:val="10"/>
              </w:rPr>
              <w:t xml:space="preserve">377</w:t>
            </w:r>
          </w:p>
        </w:tc>
        <w:tc>
          <w:tcPr>
            <w:tcW w:w="400" w:type="dxa"/>
            <w:vAlign w:val="center"/>
            <w:shd w:val="clear" w:fill="FBD4B4"/>
          </w:tcPr>
          <w:p>
            <w:pPr>
              <w:jc w:val="right"/>
            </w:pPr>
            <w:r>
              <w:rPr>
                <w:color w:val="000000"/>
                <w:sz w:val="10"/>
                <w:szCs w:val="10"/>
              </w:rPr>
              <w:t xml:space="preserve">-12</w:t>
            </w:r>
          </w:p>
        </w:tc>
        <w:tc>
          <w:tcPr>
            <w:tcW w:w="400" w:type="dxa"/>
            <w:vAlign w:val="center"/>
            <w:shd w:val="clear" w:fill="FBD4B4"/>
          </w:tcPr>
          <w:p>
            <w:pPr>
              <w:jc w:val="right"/>
            </w:pPr>
            <w:r>
              <w:rPr>
                <w:color w:val="000000"/>
                <w:sz w:val="10"/>
                <w:szCs w:val="10"/>
              </w:rPr>
              <w:t xml:space="preserve">0.9677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BD4B4"/>
          </w:tcPr>
          <w:p>
            <w:pPr>
              <w:jc w:val="right"/>
            </w:pPr>
            <w:r>
              <w:rPr>
                <w:color w:val="000000"/>
                <w:sz w:val="10"/>
                <w:szCs w:val="10"/>
              </w:rPr>
              <w:t xml:space="preserve">6894</w:t>
            </w:r>
          </w:p>
        </w:tc>
        <w:tc>
          <w:tcPr>
            <w:tcW w:w="400" w:type="dxa"/>
            <w:vAlign w:val="center"/>
            <w:shd w:val="clear" w:fill="FBD4B4"/>
          </w:tcPr>
          <w:p>
            <w:pPr>
              <w:jc w:val="right"/>
            </w:pPr>
            <w:r>
              <w:rPr>
                <w:color w:val="000000"/>
                <w:sz w:val="10"/>
                <w:szCs w:val="10"/>
              </w:rPr>
              <w:t xml:space="preserve">6403</w:t>
            </w:r>
          </w:p>
        </w:tc>
        <w:tc>
          <w:tcPr>
            <w:tcW w:w="400" w:type="dxa"/>
            <w:vAlign w:val="center"/>
            <w:shd w:val="clear" w:fill="FBD4B4"/>
          </w:tcPr>
          <w:p>
            <w:pPr>
              <w:jc w:val="right"/>
            </w:pPr>
            <w:r>
              <w:rPr>
                <w:color w:val="000000"/>
                <w:sz w:val="10"/>
                <w:szCs w:val="10"/>
              </w:rPr>
              <w:t xml:space="preserve">-491</w:t>
            </w:r>
          </w:p>
        </w:tc>
        <w:tc>
          <w:tcPr>
            <w:tcW w:w="400" w:type="dxa"/>
            <w:vAlign w:val="center"/>
            <w:shd w:val="clear" w:fill="FBD4B4"/>
          </w:tcPr>
          <w:p>
            <w:pPr>
              <w:jc w:val="right"/>
            </w:pPr>
            <w:r>
              <w:rPr>
                <w:color w:val="000000"/>
                <w:sz w:val="10"/>
                <w:szCs w:val="10"/>
              </w:rPr>
              <w:t xml:space="preserve">0.9287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BD4B4"/>
          </w:tcPr>
          <w:p>
            <w:pPr>
              <w:jc w:val="right"/>
            </w:pPr>
            <w:r>
              <w:rPr>
                <w:color w:val="000000"/>
                <w:sz w:val="10"/>
                <w:szCs w:val="10"/>
              </w:rPr>
              <w:t xml:space="preserve">27819</w:t>
            </w:r>
          </w:p>
        </w:tc>
        <w:tc>
          <w:tcPr>
            <w:tcW w:w="400" w:type="dxa"/>
            <w:vAlign w:val="center"/>
            <w:shd w:val="clear" w:fill="FBD4B4"/>
          </w:tcPr>
          <w:p>
            <w:pPr>
              <w:jc w:val="right"/>
            </w:pPr>
            <w:r>
              <w:rPr>
                <w:color w:val="000000"/>
                <w:sz w:val="10"/>
                <w:szCs w:val="10"/>
              </w:rPr>
              <w:t xml:space="preserve">23103</w:t>
            </w:r>
          </w:p>
        </w:tc>
        <w:tc>
          <w:tcPr>
            <w:tcW w:w="400" w:type="dxa"/>
            <w:vAlign w:val="center"/>
            <w:shd w:val="clear" w:fill="FBD4B4"/>
          </w:tcPr>
          <w:p>
            <w:pPr>
              <w:jc w:val="right"/>
            </w:pPr>
            <w:r>
              <w:rPr>
                <w:color w:val="000000"/>
                <w:sz w:val="10"/>
                <w:szCs w:val="10"/>
              </w:rPr>
              <w:t xml:space="preserve">-4716</w:t>
            </w:r>
          </w:p>
        </w:tc>
        <w:tc>
          <w:tcPr>
            <w:tcW w:w="400" w:type="dxa"/>
            <w:vAlign w:val="center"/>
            <w:shd w:val="clear" w:fill="FBD4B4"/>
          </w:tcPr>
          <w:p>
            <w:pPr>
              <w:jc w:val="right"/>
            </w:pPr>
            <w:r>
              <w:rPr>
                <w:color w:val="000000"/>
                <w:sz w:val="10"/>
                <w:szCs w:val="10"/>
              </w:rPr>
              <w:t xml:space="preserve">0.8305</w:t>
            </w:r>
          </w:p>
        </w:tc>
        <w:tc>
          <w:tcPr>
            <w:tcW w:w="400" w:type="dxa"/>
            <w:vAlign w:val="center"/>
            <w:shd w:val="clear" w:fill="984806"/>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BD4B4"/>
          </w:tcPr>
          <w:p>
            <w:pPr>
              <w:jc w:val="right"/>
            </w:pPr>
            <w:r>
              <w:rPr>
                <w:color w:val="000000"/>
                <w:sz w:val="10"/>
                <w:szCs w:val="10"/>
              </w:rPr>
              <w:t xml:space="preserve">2123</w:t>
            </w:r>
          </w:p>
        </w:tc>
        <w:tc>
          <w:tcPr>
            <w:tcW w:w="400" w:type="dxa"/>
            <w:vAlign w:val="center"/>
            <w:shd w:val="clear" w:fill="FBD4B4"/>
          </w:tcPr>
          <w:p>
            <w:pPr>
              <w:jc w:val="right"/>
            </w:pPr>
            <w:r>
              <w:rPr>
                <w:color w:val="000000"/>
                <w:sz w:val="10"/>
                <w:szCs w:val="10"/>
              </w:rPr>
              <w:t xml:space="preserve">1463</w:t>
            </w:r>
          </w:p>
        </w:tc>
        <w:tc>
          <w:tcPr>
            <w:tcW w:w="400" w:type="dxa"/>
            <w:vAlign w:val="center"/>
            <w:shd w:val="clear" w:fill="FBD4B4"/>
          </w:tcPr>
          <w:p>
            <w:pPr>
              <w:jc w:val="right"/>
            </w:pPr>
            <w:r>
              <w:rPr>
                <w:color w:val="000000"/>
                <w:sz w:val="10"/>
                <w:szCs w:val="10"/>
              </w:rPr>
              <w:t xml:space="preserve">-660</w:t>
            </w:r>
          </w:p>
        </w:tc>
        <w:tc>
          <w:tcPr>
            <w:tcW w:w="400" w:type="dxa"/>
            <w:vAlign w:val="center"/>
            <w:shd w:val="clear" w:fill="FBD4B4"/>
          </w:tcPr>
          <w:p>
            <w:pPr>
              <w:jc w:val="right"/>
            </w:pPr>
            <w:r>
              <w:rPr>
                <w:color w:val="000000"/>
                <w:sz w:val="10"/>
                <w:szCs w:val="10"/>
              </w:rPr>
              <w:t xml:space="preserve">0.6890</w:t>
            </w:r>
          </w:p>
        </w:tc>
        <w:tc>
          <w:tcPr>
            <w:tcW w:w="400" w:type="dxa"/>
            <w:vAlign w:val="center"/>
            <w:shd w:val="clear" w:fill="984806"/>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BD4B4"/>
          </w:tcPr>
          <w:p>
            <w:pPr>
              <w:jc w:val="right"/>
            </w:pPr>
            <w:r>
              <w:rPr>
                <w:color w:val="000000"/>
                <w:sz w:val="10"/>
                <w:szCs w:val="10"/>
              </w:rPr>
              <w:t xml:space="preserve">4419</w:t>
            </w:r>
          </w:p>
        </w:tc>
        <w:tc>
          <w:tcPr>
            <w:tcW w:w="400" w:type="dxa"/>
            <w:vAlign w:val="center"/>
            <w:shd w:val="clear" w:fill="FBD4B4"/>
          </w:tcPr>
          <w:p>
            <w:pPr>
              <w:jc w:val="right"/>
            </w:pPr>
            <w:r>
              <w:rPr>
                <w:color w:val="000000"/>
                <w:sz w:val="10"/>
                <w:szCs w:val="10"/>
              </w:rPr>
              <w:t xml:space="preserve">4136</w:t>
            </w:r>
          </w:p>
        </w:tc>
        <w:tc>
          <w:tcPr>
            <w:tcW w:w="400" w:type="dxa"/>
            <w:vAlign w:val="center"/>
            <w:shd w:val="clear" w:fill="FBD4B4"/>
          </w:tcPr>
          <w:p>
            <w:pPr>
              <w:jc w:val="right"/>
            </w:pPr>
            <w:r>
              <w:rPr>
                <w:color w:val="000000"/>
                <w:sz w:val="10"/>
                <w:szCs w:val="10"/>
              </w:rPr>
              <w:t xml:space="preserve">-283</w:t>
            </w:r>
          </w:p>
        </w:tc>
        <w:tc>
          <w:tcPr>
            <w:tcW w:w="400" w:type="dxa"/>
            <w:vAlign w:val="center"/>
            <w:shd w:val="clear" w:fill="FBD4B4"/>
          </w:tcPr>
          <w:p>
            <w:pPr>
              <w:jc w:val="right"/>
            </w:pPr>
            <w:r>
              <w:rPr>
                <w:color w:val="000000"/>
                <w:sz w:val="10"/>
                <w:szCs w:val="10"/>
              </w:rPr>
              <w:t xml:space="preserve">0.9360</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E36C0A"/>
          </w:tcPr>
          <w:p>
            <w:pPr/>
            <w:r>
              <w:rPr>
                <w:color w:val="ffffff"/>
                <w:sz w:val="10"/>
                <w:szCs w:val="10"/>
                <w:b/>
                <w:bCs/>
              </w:rPr>
              <w:t xml:space="preserve">Total</w:t>
            </w:r>
          </w:p>
        </w:tc>
        <w:tc>
          <w:tcPr>
            <w:tcW w:w="400" w:type="dxa"/>
            <w:vAlign w:val="center"/>
            <w:shd w:val="clear" w:fill="E36C0A"/>
          </w:tcPr>
          <w:p>
            <w:pPr>
              <w:jc w:val="center"/>
            </w:pPr>
            <w:r>
              <w:rPr>
                <w:color w:val="ffffff"/>
                <w:sz w:val="10"/>
                <w:szCs w:val="10"/>
                <w:b/>
                <w:bCs/>
              </w:rPr>
              <w:t xml:space="preserve">173141</w:t>
            </w:r>
          </w:p>
        </w:tc>
        <w:tc>
          <w:tcPr>
            <w:tcW w:w="400" w:type="dxa"/>
            <w:vAlign w:val="center"/>
            <w:shd w:val="clear" w:fill="E36C0A"/>
          </w:tcPr>
          <w:p>
            <w:pPr>
              <w:jc w:val="center"/>
            </w:pPr>
            <w:r>
              <w:rPr>
                <w:color w:val="ffffff"/>
                <w:sz w:val="10"/>
                <w:szCs w:val="10"/>
                <w:b/>
                <w:bCs/>
              </w:rPr>
              <w:t xml:space="preserve">162314</w:t>
            </w:r>
          </w:p>
        </w:tc>
        <w:tc>
          <w:tcPr>
            <w:tcW w:w="400" w:type="dxa"/>
            <w:vAlign w:val="center"/>
            <w:shd w:val="clear" w:fill="E36C0A"/>
          </w:tcPr>
          <w:p>
            <w:pPr>
              <w:jc w:val="center"/>
            </w:pPr>
            <w:r>
              <w:rPr>
                <w:color w:val="000000"/>
                <w:sz w:val="10"/>
                <w:szCs w:val="10"/>
              </w:rPr>
              <w:t xml:space="preserve">-10827</w:t>
            </w:r>
          </w:p>
        </w:tc>
        <w:tc>
          <w:tcPr>
            <w:tcW w:w="400" w:type="dxa"/>
            <w:vAlign w:val="center"/>
            <w:shd w:val="clear" w:fill="E36C0A"/>
          </w:tcPr>
          <w:p>
            <w:pPr>
              <w:jc w:val="center"/>
            </w:pPr>
            <w:r>
              <w:rPr>
                <w:color w:val="ffffff"/>
                <w:sz w:val="10"/>
                <w:szCs w:val="10"/>
                <w:b/>
                <w:bCs/>
              </w:rPr>
              <w:t xml:space="preserve">0.94</w:t>
            </w:r>
          </w:p>
        </w:tc>
        <w:tc>
          <w:tcPr>
            <w:tcW w:w="400" w:type="dxa"/>
            <w:vAlign w:val="center"/>
            <w:shd w:val="clear" w:fill="E36C0A"/>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($323K)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the activity for pipe compartment pickup post launch was budgeted to start in June 2016 but, didn’t start until October 2016. Manpower resources focused on flushing and pipe system completion before correcting the Gigs.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The Gig Work will be open until the ship delivers.</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BDT, BST, AT or Delivery.</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($937K)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builders dock trials and builders sea trials. This work was budgeted to begin in April 2017, due to pipe flushing issues as well as changes and rework to major machinery components. There has also been a delay caused from LCS 11 not successfully completing Trials. It has been forecasted to be done in Spring 2018, now.</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full recovery is anticipated at completion.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($323K)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the activity for pipe compartment pickup post launch was budgeted to start in June 2016 but, didn’t start until October 2016. Manpower resources focused on flushing and pipe system completion before correcting the Gigs.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The Gig Work will be open until the ship delivers.</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BDT, BST, AT or Delivery.</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($937K)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builders dock trials and builders sea trials. This work was budgeted to begin in April 2017, due to pipe flushing issues as well as changes and rework to major machinery components. There has also been a delay caused from LCS 11 not successfully completing Trials. It has been forecasted to be done in Spring 2018, now.</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full recovery is anticipated at completion.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($323K)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the activity for pipe compartment pickup post launch was budgeted to start in June 2016 but, didn’t start until October 2016. Manpower resources focused on flushing and pipe system completion before correcting the Gigs.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The Gig Work will be open until the ship delivers.</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BDT, BST, AT or Delivery.</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($937K)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builders dock trials and builders sea trials. This work was budgeted to begin in April 2017, due to pipe flushing issues as well as changes and rework to major machinery components. There has also been a delay caused from LCS 11 not successfully completing Trials. It has been forecasted to be done in Spring 2018, now.</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full recovery is anticipated at completion.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1.16.2.1 ILS Support and Material</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2,123,367</w:t>
            </w:r>
          </w:p>
        </w:tc>
        <w:tc>
          <w:tcPr>
            <w:tcW w:w="1000" w:type="dxa"/>
          </w:tcPr>
          <w:p>
            <w:pPr>
              <w:jc w:val="right"/>
            </w:pPr>
            <w:r>
              <w:rPr>
                <w:color w:val="000000"/>
                <w:sz w:val="14"/>
                <w:szCs w:val="14"/>
              </w:rPr>
              <w:t xml:space="preserve">1,463,095</w:t>
            </w:r>
          </w:p>
        </w:tc>
        <w:tc>
          <w:tcPr>
            <w:tcW w:w="1000" w:type="dxa"/>
          </w:tcPr>
          <w:p>
            <w:pPr>
              <w:jc w:val="right"/>
            </w:pPr>
            <w:r>
              <w:rPr>
                <w:color w:val="000000"/>
                <w:sz w:val="14"/>
                <w:szCs w:val="14"/>
              </w:rPr>
              <w:t xml:space="preserve">1,083,299</w:t>
            </w:r>
          </w:p>
        </w:tc>
        <w:tc>
          <w:tcPr>
            <w:tcW w:w="1000" w:type="dxa"/>
            <w:vAlign w:val="center"/>
            <w:shd w:val="clear" w:fill="FF8080"/>
          </w:tcPr>
          <w:p>
            <w:pPr>
              <w:jc w:val="right"/>
            </w:pPr>
            <w:r>
              <w:rPr>
                <w:color w:val="FFFFFF"/>
                <w:sz w:val="14"/>
                <w:szCs w:val="14"/>
                <w:b/>
                <w:bCs/>
              </w:rPr>
              <w:t xml:space="preserve">(660)</w:t>
            </w:r>
          </w:p>
        </w:tc>
        <w:tc>
          <w:tcPr>
            <w:tcW w:w="1000" w:type="dxa"/>
          </w:tcPr>
          <w:p>
            <w:pPr>
              <w:jc w:val="right"/>
            </w:pPr>
            <w:r>
              <w:rPr>
                <w:color w:val="000000"/>
                <w:sz w:val="14"/>
                <w:szCs w:val="14"/>
              </w:rPr>
              <w:t xml:space="preserve">(660)</w:t>
            </w:r>
          </w:p>
        </w:tc>
        <w:tc>
          <w:tcPr>
            <w:tcW w:w="1000" w:type="dxa"/>
            <w:vAlign w:val="center"/>
            <w:shd w:val="clear" w:fill="FF8080"/>
          </w:tcPr>
          <w:p>
            <w:pPr>
              <w:jc w:val="right"/>
            </w:pPr>
            <w:r>
              <w:rPr>
                <w:color w:val="FFFFFF"/>
                <w:sz w:val="14"/>
                <w:szCs w:val="14"/>
                <w:b/>
                <w:bCs/>
              </w:rPr>
              <w:t xml:space="preserve">379,796</w:t>
            </w:r>
          </w:p>
        </w:tc>
        <w:tc>
          <w:tcPr>
            <w:tcW w:w="1000" w:type="dxa"/>
          </w:tcPr>
          <w:p>
            <w:pPr>
              <w:jc w:val="right"/>
            </w:pPr>
            <w:r>
              <w:rPr>
                <w:color w:val="000000"/>
                <w:sz w:val="14"/>
                <w:szCs w:val="14"/>
              </w:rPr>
              <w:t xml:space="preserve">379,796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2,123,367</w:t>
            </w:r>
          </w:p>
        </w:tc>
        <w:tc>
          <w:tcPr>
            <w:tcW w:w="1000" w:type="dxa"/>
          </w:tcPr>
          <w:p>
            <w:pPr>
              <w:jc w:val="right"/>
            </w:pPr>
            <w:r>
              <w:rPr>
                <w:color w:val="000000"/>
                <w:sz w:val="14"/>
                <w:szCs w:val="14"/>
              </w:rPr>
              <w:t xml:space="preserve">1,768,522</w:t>
            </w:r>
          </w:p>
        </w:tc>
        <w:tc>
          <w:tcPr>
            <w:tcW w:w="1000" w:type="dxa"/>
            <w:vAlign w:val="center"/>
            <w:shd w:val="clear" w:fill="FF8080"/>
          </w:tcPr>
          <w:p>
            <w:pPr>
              <w:jc w:val="right"/>
            </w:pPr>
            <w:r>
              <w:rPr>
                <w:color w:val="FFFFFF"/>
                <w:sz w:val="14"/>
                <w:szCs w:val="14"/>
                <w:b/>
                <w:bCs/>
              </w:rPr>
              <w:t xml:space="preserve">354,845</w:t>
            </w:r>
          </w:p>
        </w:tc>
        <w:tc>
          <w:tcPr>
            <w:tcW w:w="1000" w:type="dxa"/>
          </w:tcPr>
          <w:p>
            <w:pPr>
              <w:jc w:val="right"/>
            </w:pPr>
            <w:r>
              <w:rPr>
                <w:color w:val="000000"/>
                <w:sz w:val="14"/>
                <w:szCs w:val="14"/>
              </w:rPr>
              <w:t xml:space="preserve">354,845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1,768,522</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CUM COST VAR"/>
      </w:tblPr>
      <w:tr>
        <w:trPr>
          <w:trHeight w:val="300" w:hRule="atLeast"/>
        </w:trPr>
        <w:tc>
          <w:tcPr>
            <w:tcW w:w="10000" w:type="dxa"/>
            <w:vAlign w:val="center"/>
            <w:shd w:val="clear" w:fill="943634"/>
          </w:tcPr>
          <w:p>
            <w:pPr/>
            <w:r>
              <w:rPr>
                <w:color w:val="ffffff"/>
                <w:sz w:val="10"/>
                <w:szCs w:val="10"/>
                <w:b/>
                <w:bCs/>
              </w:rPr>
              <w:t xml:space="preserve">TOP 5 Cumulative Cost Variances</w:t>
            </w:r>
          </w:p>
        </w:tc>
        <w:tc>
          <w:tcPr>
            <w:tcW w:w="400" w:type="dxa"/>
            <w:vAlign w:val="center"/>
            <w:shd w:val="clear" w:fill="943634"/>
          </w:tcPr>
          <w:p>
            <w:pPr/>
            <w:r>
              <w:rPr>
                <w:color w:val="ffffff"/>
                <w:sz w:val="10"/>
                <w:szCs w:val="10"/>
                <w:b/>
                <w:bCs/>
              </w:rPr>
              <w:t xml:space="preserve">ACWP </w:t>
            </w:r>
          </w:p>
        </w:tc>
        <w:tc>
          <w:tcPr>
            <w:tcW w:w="400" w:type="dxa"/>
            <w:vAlign w:val="center"/>
            <w:shd w:val="clear" w:fill="943634"/>
          </w:tcPr>
          <w:p>
            <w:pPr/>
            <w:r>
              <w:rPr>
                <w:color w:val="ffffff"/>
                <w:sz w:val="10"/>
                <w:szCs w:val="10"/>
                <w:b/>
                <w:bCs/>
              </w:rPr>
              <w:t xml:space="preserve">BCWP</w:t>
            </w:r>
          </w:p>
        </w:tc>
        <w:tc>
          <w:tcPr>
            <w:tcW w:w="400" w:type="dxa"/>
            <w:vAlign w:val="center"/>
            <w:shd w:val="clear" w:fill="943634"/>
          </w:tcPr>
          <w:p>
            <w:pPr/>
            <w:r>
              <w:rPr>
                <w:color w:val="ffffff"/>
                <w:sz w:val="10"/>
                <w:szCs w:val="10"/>
                <w:b/>
                <w:bCs/>
              </w:rPr>
              <w:t xml:space="preserve">Variance</w:t>
            </w:r>
          </w:p>
        </w:tc>
        <w:tc>
          <w:tcPr>
            <w:tcW w:w="400" w:type="dxa"/>
            <w:vAlign w:val="center"/>
            <w:shd w:val="clear" w:fill="943634"/>
          </w:tcPr>
          <w:p>
            <w:pPr/>
            <w:r>
              <w:rPr>
                <w:color w:val="ffffff"/>
                <w:sz w:val="10"/>
                <w:szCs w:val="10"/>
                <w:b/>
                <w:bCs/>
              </w:rPr>
              <w:t xml:space="preserve">CPI</w:t>
            </w:r>
          </w:p>
        </w:tc>
        <w:tc>
          <w:tcPr>
            <w:tcW w:w="400" w:type="dxa"/>
            <w:vAlign w:val="center"/>
            <w:shd w:val="clear" w:fill="943634"/>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2DBDB"/>
          </w:tcPr>
          <w:p>
            <w:pPr>
              <w:jc w:val="right"/>
            </w:pPr>
            <w:r>
              <w:rPr>
                <w:color w:val="000000"/>
                <w:sz w:val="10"/>
                <w:szCs w:val="10"/>
              </w:rPr>
              <w:t xml:space="preserve">35,184</w:t>
            </w:r>
          </w:p>
        </w:tc>
        <w:tc>
          <w:tcPr>
            <w:tcW w:w="400" w:type="dxa"/>
            <w:vAlign w:val="center"/>
            <w:shd w:val="clear" w:fill="F2DBDB"/>
          </w:tcPr>
          <w:p>
            <w:pPr>
              <w:jc w:val="right"/>
            </w:pPr>
            <w:r>
              <w:rPr>
                <w:color w:val="000000"/>
                <w:sz w:val="10"/>
                <w:szCs w:val="10"/>
              </w:rPr>
              <w:t xml:space="preserve">33,755</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2DBDB"/>
          </w:tcPr>
          <w:p>
            <w:pPr>
              <w:jc w:val="right"/>
            </w:pPr>
            <w:r>
              <w:rPr>
                <w:color w:val="000000"/>
                <w:sz w:val="10"/>
                <w:szCs w:val="10"/>
              </w:rPr>
              <w:t xml:space="preserve">20,933</w:t>
            </w:r>
          </w:p>
        </w:tc>
        <w:tc>
          <w:tcPr>
            <w:tcW w:w="400" w:type="dxa"/>
            <w:vAlign w:val="center"/>
            <w:shd w:val="clear" w:fill="F2DBDB"/>
          </w:tcPr>
          <w:p>
            <w:pPr>
              <w:jc w:val="right"/>
            </w:pPr>
            <w:r>
              <w:rPr>
                <w:color w:val="000000"/>
                <w:sz w:val="10"/>
                <w:szCs w:val="10"/>
              </w:rPr>
              <w:t xml:space="preserve">15,117</w:t>
            </w:r>
          </w:p>
        </w:tc>
        <w:tc>
          <w:tcPr>
            <w:tcW w:w="400" w:type="dxa"/>
            <w:vAlign w:val="center"/>
            <w:shd w:val="clear" w:fill="F2DBDB"/>
          </w:tcPr>
          <w:p>
            <w:pPr>
              <w:jc w:val="right"/>
            </w:pPr>
            <w:r>
              <w:rPr>
                <w:color w:val="000000"/>
                <w:sz w:val="10"/>
                <w:szCs w:val="10"/>
              </w:rPr>
              <w:t xml:space="preserve">(5)</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4</w:t>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2DBDB"/>
          </w:tcPr>
          <w:p>
            <w:pPr>
              <w:jc w:val="right"/>
            </w:pPr>
            <w:r>
              <w:rPr>
                <w:color w:val="000000"/>
                <w:sz w:val="10"/>
                <w:szCs w:val="10"/>
              </w:rPr>
              <w:t xml:space="preserve">27,716</w:t>
            </w:r>
          </w:p>
        </w:tc>
        <w:tc>
          <w:tcPr>
            <w:tcW w:w="400" w:type="dxa"/>
            <w:vAlign w:val="center"/>
            <w:shd w:val="clear" w:fill="F2DBDB"/>
          </w:tcPr>
          <w:p>
            <w:pPr>
              <w:jc w:val="right"/>
            </w:pPr>
            <w:r>
              <w:rPr>
                <w:color w:val="000000"/>
                <w:sz w:val="10"/>
                <w:szCs w:val="10"/>
              </w:rPr>
              <w:t xml:space="preserve">23,814</w:t>
            </w:r>
          </w:p>
        </w:tc>
        <w:tc>
          <w:tcPr>
            <w:tcW w:w="400" w:type="dxa"/>
            <w:vAlign w:val="center"/>
            <w:shd w:val="clear" w:fill="F2DBDB"/>
          </w:tcPr>
          <w:p>
            <w:pPr>
              <w:jc w:val="right"/>
            </w:pPr>
            <w:r>
              <w:rPr>
                <w:color w:val="000000"/>
                <w:sz w:val="10"/>
                <w:szCs w:val="10"/>
              </w:rPr>
              <w:t xml:space="preserve">(3)</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5</w:t>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2DBDB"/>
          </w:tcPr>
          <w:p>
            <w:pPr>
              <w:jc w:val="right"/>
            </w:pPr>
            <w:r>
              <w:rPr>
                <w:color w:val="000000"/>
                <w:sz w:val="10"/>
                <w:szCs w:val="10"/>
              </w:rPr>
              <w:t xml:space="preserve">4,321</w:t>
            </w:r>
          </w:p>
        </w:tc>
        <w:tc>
          <w:tcPr>
            <w:tcW w:w="400" w:type="dxa"/>
            <w:vAlign w:val="center"/>
            <w:shd w:val="clear" w:fill="F2DBDB"/>
          </w:tcPr>
          <w:p>
            <w:pPr>
              <w:jc w:val="right"/>
            </w:pPr>
            <w:r>
              <w:rPr>
                <w:color w:val="000000"/>
                <w:sz w:val="10"/>
                <w:szCs w:val="10"/>
              </w:rPr>
              <w:t xml:space="preserve">3,623</w:t>
            </w:r>
          </w:p>
        </w:tc>
        <w:tc>
          <w:tcPr>
            <w:tcW w:w="400" w:type="dxa"/>
            <w:vAlign w:val="center"/>
            <w:shd w:val="clear" w:fill="F2DBDB"/>
          </w:tcPr>
          <w:p>
            <w:pPr>
              <w:jc w:val="right"/>
            </w:pPr>
            <w:r>
              <w:rPr>
                <w:color w:val="000000"/>
                <w:sz w:val="10"/>
                <w:szCs w:val="10"/>
              </w:rPr>
              <w:t xml:space="preserve">(697)</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2DBDB"/>
          </w:tcPr>
          <w:p>
            <w:pPr>
              <w:jc w:val="right"/>
            </w:pPr>
            <w:r>
              <w:rPr>
                <w:color w:val="000000"/>
                <w:sz w:val="10"/>
                <w:szCs w:val="10"/>
              </w:rPr>
              <w:t xml:space="preserve">41,626</w:t>
            </w:r>
          </w:p>
        </w:tc>
        <w:tc>
          <w:tcPr>
            <w:tcW w:w="400" w:type="dxa"/>
            <w:vAlign w:val="center"/>
            <w:shd w:val="clear" w:fill="F2DBDB"/>
          </w:tcPr>
          <w:p>
            <w:pPr>
              <w:jc w:val="right"/>
            </w:pPr>
            <w:r>
              <w:rPr>
                <w:color w:val="000000"/>
                <w:sz w:val="10"/>
                <w:szCs w:val="10"/>
              </w:rPr>
              <w:t xml:space="preserve">33,593</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2DBDB"/>
          </w:tcPr>
          <w:p>
            <w:pPr>
              <w:jc w:val="right"/>
            </w:pPr>
            <w:r>
              <w:rPr>
                <w:color w:val="000000"/>
                <w:sz w:val="10"/>
                <w:szCs w:val="10"/>
              </w:rPr>
              <w:t xml:space="preserve">24,959</w:t>
            </w:r>
          </w:p>
        </w:tc>
        <w:tc>
          <w:tcPr>
            <w:tcW w:w="400" w:type="dxa"/>
            <w:vAlign w:val="center"/>
            <w:shd w:val="clear" w:fill="F2DBDB"/>
          </w:tcPr>
          <w:p>
            <w:pPr>
              <w:jc w:val="right"/>
            </w:pPr>
            <w:r>
              <w:rPr>
                <w:color w:val="000000"/>
                <w:sz w:val="10"/>
                <w:szCs w:val="10"/>
              </w:rPr>
              <w:t xml:space="preserve">16,925</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2DBDB"/>
          </w:tcPr>
          <w:p>
            <w:pPr>
              <w:jc w:val="right"/>
            </w:pPr>
            <w:r>
              <w:rPr>
                <w:color w:val="000000"/>
                <w:sz w:val="10"/>
                <w:szCs w:val="10"/>
              </w:rPr>
              <w:t xml:space="preserve">360</w:t>
            </w:r>
          </w:p>
        </w:tc>
        <w:tc>
          <w:tcPr>
            <w:tcW w:w="400" w:type="dxa"/>
            <w:vAlign w:val="center"/>
            <w:shd w:val="clear" w:fill="F2DBDB"/>
          </w:tcPr>
          <w:p>
            <w:pPr>
              <w:jc w:val="right"/>
            </w:pPr>
            <w:r>
              <w:rPr>
                <w:color w:val="000000"/>
                <w:sz w:val="10"/>
                <w:szCs w:val="10"/>
              </w:rPr>
              <w:t xml:space="preserve">377</w:t>
            </w:r>
          </w:p>
        </w:tc>
        <w:tc>
          <w:tcPr>
            <w:tcW w:w="400" w:type="dxa"/>
            <w:vAlign w:val="center"/>
            <w:shd w:val="clear" w:fill="F2DBDB"/>
          </w:tcPr>
          <w:p>
            <w:pPr>
              <w:jc w:val="right"/>
            </w:pPr>
            <w:r>
              <w:rPr>
                <w:color w:val="000000"/>
                <w:sz w:val="10"/>
                <w:szCs w:val="10"/>
              </w:rPr>
              <w:t xml:space="preserve">17</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2DBDB"/>
          </w:tcPr>
          <w:p>
            <w:pPr>
              <w:jc w:val="right"/>
            </w:pPr>
            <w:r>
              <w:rPr>
                <w:color w:val="000000"/>
                <w:sz w:val="10"/>
                <w:szCs w:val="10"/>
              </w:rPr>
              <w:t xml:space="preserve">7,494</w:t>
            </w:r>
          </w:p>
        </w:tc>
        <w:tc>
          <w:tcPr>
            <w:tcW w:w="400" w:type="dxa"/>
            <w:vAlign w:val="center"/>
            <w:shd w:val="clear" w:fill="F2DBDB"/>
          </w:tcPr>
          <w:p>
            <w:pPr>
              <w:jc w:val="right"/>
            </w:pPr>
            <w:r>
              <w:rPr>
                <w:color w:val="000000"/>
                <w:sz w:val="10"/>
                <w:szCs w:val="10"/>
              </w:rPr>
              <w:t xml:space="preserve">6,403</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2DBDB"/>
          </w:tcPr>
          <w:p>
            <w:pPr>
              <w:jc w:val="right"/>
            </w:pPr>
            <w:r>
              <w:rPr>
                <w:color w:val="000000"/>
                <w:sz w:val="10"/>
                <w:szCs w:val="10"/>
              </w:rPr>
              <w:t xml:space="preserve">31,458</w:t>
            </w:r>
          </w:p>
        </w:tc>
        <w:tc>
          <w:tcPr>
            <w:tcW w:w="400" w:type="dxa"/>
            <w:vAlign w:val="center"/>
            <w:shd w:val="clear" w:fill="F2DBDB"/>
          </w:tcPr>
          <w:p>
            <w:pPr>
              <w:jc w:val="right"/>
            </w:pPr>
            <w:r>
              <w:rPr>
                <w:color w:val="000000"/>
                <w:sz w:val="10"/>
                <w:szCs w:val="10"/>
              </w:rPr>
              <w:t xml:space="preserve">23,103</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2DBDB"/>
          </w:tcPr>
          <w:p>
            <w:pPr>
              <w:jc w:val="right"/>
            </w:pPr>
            <w:r>
              <w:rPr>
                <w:color w:val="000000"/>
                <w:sz w:val="10"/>
                <w:szCs w:val="10"/>
              </w:rPr>
              <w:t xml:space="preserve">1,083</w:t>
            </w:r>
          </w:p>
        </w:tc>
        <w:tc>
          <w:tcPr>
            <w:tcW w:w="400" w:type="dxa"/>
            <w:vAlign w:val="center"/>
            <w:shd w:val="clear" w:fill="F2DBDB"/>
          </w:tcPr>
          <w:p>
            <w:pPr>
              <w:jc w:val="right"/>
            </w:pPr>
            <w:r>
              <w:rPr>
                <w:color w:val="000000"/>
                <w:sz w:val="10"/>
                <w:szCs w:val="10"/>
              </w:rPr>
              <w:t xml:space="preserve">1,463</w:t>
            </w:r>
          </w:p>
        </w:tc>
        <w:tc>
          <w:tcPr>
            <w:tcW w:w="400" w:type="dxa"/>
            <w:vAlign w:val="center"/>
            <w:shd w:val="clear" w:fill="F2DBDB"/>
          </w:tcPr>
          <w:p>
            <w:pPr>
              <w:jc w:val="right"/>
            </w:pPr>
            <w:r>
              <w:rPr>
                <w:color w:val="000000"/>
                <w:sz w:val="10"/>
                <w:szCs w:val="10"/>
              </w:rPr>
              <w:t xml:space="preserve">379</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2DBDB"/>
          </w:tcPr>
          <w:p>
            <w:pPr>
              <w:jc w:val="right"/>
            </w:pPr>
            <w:r>
              <w:rPr>
                <w:color w:val="000000"/>
                <w:sz w:val="10"/>
                <w:szCs w:val="10"/>
              </w:rPr>
              <w:t xml:space="preserve">6,136</w:t>
            </w:r>
          </w:p>
        </w:tc>
        <w:tc>
          <w:tcPr>
            <w:tcW w:w="400" w:type="dxa"/>
            <w:vAlign w:val="center"/>
            <w:shd w:val="clear" w:fill="F2DBDB"/>
          </w:tcPr>
          <w:p>
            <w:pPr>
              <w:jc w:val="right"/>
            </w:pPr>
            <w:r>
              <w:rPr>
                <w:color w:val="000000"/>
                <w:sz w:val="10"/>
                <w:szCs w:val="10"/>
              </w:rPr>
              <w:t xml:space="preserve">4,136</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943634"/>
          </w:tcPr>
          <w:p>
            <w:pPr/>
            <w:r>
              <w:rPr>
                <w:color w:val="ffffff"/>
                <w:sz w:val="10"/>
                <w:szCs w:val="10"/>
                <w:b/>
                <w:bCs/>
              </w:rPr>
              <w:t xml:space="preserve">Total</w:t>
            </w:r>
          </w:p>
        </w:tc>
        <w:tc>
          <w:tcPr>
            <w:tcW w:w="400" w:type="dxa"/>
            <w:vAlign w:val="center"/>
            <w:shd w:val="clear" w:fill="943634"/>
          </w:tcPr>
          <w:p>
            <w:pPr>
              <w:jc w:val="center"/>
            </w:pPr>
            <w:r>
              <w:rPr>
                <w:color w:val="ffffff"/>
                <w:sz w:val="10"/>
                <w:szCs w:val="10"/>
                <w:b/>
                <w:bCs/>
              </w:rPr>
              <w:t xml:space="preserve">201,275</w:t>
            </w:r>
          </w:p>
        </w:tc>
        <w:tc>
          <w:tcPr>
            <w:tcW w:w="400" w:type="dxa"/>
            <w:vAlign w:val="center"/>
            <w:shd w:val="clear" w:fill="943634"/>
          </w:tcPr>
          <w:p>
            <w:pPr>
              <w:jc w:val="center"/>
            </w:pPr>
            <w:r>
              <w:rPr>
                <w:color w:val="ffffff"/>
                <w:sz w:val="10"/>
                <w:szCs w:val="10"/>
                <w:b/>
                <w:bCs/>
              </w:rPr>
              <w:t xml:space="preserve">162,314</w:t>
            </w:r>
          </w:p>
        </w:tc>
        <w:tc>
          <w:tcPr>
            <w:tcW w:w="400" w:type="dxa"/>
            <w:vAlign w:val="center"/>
            <w:shd w:val="clear" w:fill="943634"/>
          </w:tcPr>
          <w:p>
            <w:pPr>
              <w:jc w:val="center"/>
            </w:pPr>
            <w:r>
              <w:rPr>
                <w:color w:val="000000"/>
                <w:sz w:val="10"/>
                <w:szCs w:val="10"/>
              </w:rPr>
              <w:t xml:space="preserve">0</w:t>
            </w:r>
          </w:p>
        </w:tc>
        <w:tc>
          <w:tcPr>
            <w:tcW w:w="400" w:type="dxa"/>
            <w:vAlign w:val="center"/>
            <w:shd w:val="clear" w:fill="943634"/>
          </w:tcPr>
          <w:p>
            <w:pPr>
              <w:jc w:val="center"/>
            </w:pPr>
            <w:r>
              <w:rPr>
                <w:color w:val="ffffff"/>
                <w:sz w:val="10"/>
                <w:szCs w:val="10"/>
                <w:b/>
                <w:bCs/>
              </w:rPr>
              <w:t xml:space="preserve">0.81</w:t>
            </w:r>
          </w:p>
        </w:tc>
        <w:tc>
          <w:tcPr>
            <w:tcW w:w="400" w:type="dxa"/>
            <w:vAlign w:val="center"/>
            <w:shd w:val="clear" w:fill="943634"/>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1.16.1.6 CWBS Group 600:  Outfitting and Furnishings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16,925,391</w:t>
            </w:r>
          </w:p>
        </w:tc>
        <w:tc>
          <w:tcPr>
            <w:tcW w:w="1000" w:type="dxa"/>
          </w:tcPr>
          <w:p>
            <w:pPr>
              <w:jc w:val="right"/>
            </w:pPr>
            <w:r>
              <w:rPr>
                <w:color w:val="000000"/>
                <w:sz w:val="14"/>
                <w:szCs w:val="14"/>
              </w:rPr>
              <w:t xml:space="preserve">24,959,389</w:t>
            </w:r>
          </w:p>
        </w:tc>
        <w:tc>
          <w:tcPr>
            <w:tcW w:w="1000" w:type="dxa"/>
            <w:vAlign w:val="center"/>
            <w:shd w:val="clear" w:fill="FF8080"/>
          </w:tcPr>
          <w:p>
            <w:pPr>
              <w:jc w:val="right"/>
            </w:pPr>
            <w:r>
              <w:rPr>
                <w:color w:val="FFFFFF"/>
                <w:sz w:val="14"/>
                <w:szCs w:val="14"/>
                <w:b/>
                <w:bCs/>
              </w:rPr>
              <w:t xml:space="preserve">(633)</w:t>
            </w:r>
          </w:p>
        </w:tc>
        <w:tc>
          <w:tcPr>
            <w:tcW w:w="1000" w:type="dxa"/>
          </w:tcPr>
          <w:p>
            <w:pPr>
              <w:jc w:val="right"/>
            </w:pPr>
            <w:r>
              <w:rPr>
                <w:color w:val="000000"/>
                <w:sz w:val="14"/>
                <w:szCs w:val="14"/>
              </w:rPr>
              <w:t xml:space="preserve">(633)</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25,759,348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25,759,348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1.16.1.6.635.301 / 301 SWBS 635 Thermal: Acoustic &amp; Fire Ins Material</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($1,506K)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additional authorized rework for Robinson Brother’s thermal insulation and fire retardant material. This is a result of missed hotwork by MMC in SOC 2/3.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as this is authorized rework to the FFP vendor, which results in an increased EAC. MMC has increased awareness to entrance criteria for vendor to begin insulation.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This will increase the cost of the ship. EAC is reflective of the expected cost</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1.16.1.5 CWBS Group 500:  Auxiliary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34,893,822</w:t>
            </w:r>
          </w:p>
        </w:tc>
        <w:tc>
          <w:tcPr>
            <w:tcW w:w="1000" w:type="dxa"/>
          </w:tcPr>
          <w:p>
            <w:pPr>
              <w:jc w:val="right"/>
            </w:pPr>
            <w:r>
              <w:rPr>
                <w:color w:val="000000"/>
                <w:sz w:val="14"/>
                <w:szCs w:val="14"/>
              </w:rPr>
              <w:t xml:space="preserve">33,593,793</w:t>
            </w:r>
          </w:p>
        </w:tc>
        <w:tc>
          <w:tcPr>
            <w:tcW w:w="1000" w:type="dxa"/>
          </w:tcPr>
          <w:p>
            <w:pPr>
              <w:jc w:val="right"/>
            </w:pPr>
            <w:r>
              <w:rPr>
                <w:color w:val="000000"/>
                <w:sz w:val="14"/>
                <w:szCs w:val="14"/>
              </w:rPr>
              <w:t xml:space="preserve">41,626,340</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34,896,458</w:t>
            </w:r>
          </w:p>
        </w:tc>
        <w:tc>
          <w:tcPr>
            <w:tcW w:w="1000" w:type="dxa"/>
          </w:tcPr>
          <w:p>
            <w:pPr>
              <w:jc w:val="right"/>
            </w:pPr>
            <w:r>
              <w:rPr>
                <w:color w:val="000000"/>
                <w:sz w:val="14"/>
                <w:szCs w:val="14"/>
              </w:rPr>
              <w:t xml:space="preserve">43,702,768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43,702,768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1.16.1.2 CWBS Group 200:  Propulsion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15,117,333</w:t>
            </w:r>
          </w:p>
        </w:tc>
        <w:tc>
          <w:tcPr>
            <w:tcW w:w="1000" w:type="dxa"/>
          </w:tcPr>
          <w:p>
            <w:pPr>
              <w:jc w:val="right"/>
            </w:pPr>
            <w:r>
              <w:rPr>
                <w:color w:val="000000"/>
                <w:sz w:val="14"/>
                <w:szCs w:val="14"/>
              </w:rPr>
              <w:t xml:space="preserve">20,933,231</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(5)</w:t>
            </w:r>
          </w:p>
        </w:tc>
        <w:tc>
          <w:tcPr>
            <w:tcW w:w="1000" w:type="dxa"/>
          </w:tcPr>
          <w:p>
            <w:pPr>
              <w:jc w:val="right"/>
            </w:pPr>
            <w:r>
              <w:rPr>
                <w:color w:val="000000"/>
                <w:sz w:val="14"/>
                <w:szCs w:val="14"/>
              </w:rPr>
              <w:t xml:space="preserve">(5)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22,762,193</w:t>
            </w:r>
          </w:p>
        </w:tc>
        <w:tc>
          <w:tcPr>
            <w:tcW w:w="1000" w:type="dxa"/>
            <w:vAlign w:val="center"/>
            <w:shd w:val="clear" w:fill="FF8080"/>
          </w:tcPr>
          <w:p>
            <w:pPr>
              <w:jc w:val="right"/>
            </w:pPr>
            <w:r>
              <w:rPr>
                <w:color w:val="FFFFFF"/>
                <w:sz w:val="14"/>
                <w:szCs w:val="14"/>
                <w:b/>
                <w:bCs/>
              </w:rPr>
              <w:t xml:space="preserve">(6)</w:t>
            </w:r>
          </w:p>
        </w:tc>
        <w:tc>
          <w:tcPr>
            <w:tcW w:w="1000" w:type="dxa"/>
          </w:tcPr>
          <w:p>
            <w:pPr>
              <w:jc w:val="right"/>
            </w:pPr>
            <w:r>
              <w:rPr>
                <w:color w:val="000000"/>
                <w:sz w:val="14"/>
                <w:szCs w:val="14"/>
              </w:rPr>
              <w:t xml:space="preserve">(6)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22,762,193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1.16.1.2.247.301 / 301 SWBS 247 Water Jets Material</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($691K)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remapping of parts to this control account that were initially being mapped to the wrong control account in error. The variance is caused by the remapping of the actual costs.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Although there will be an overrun to this account, there is a decrease to the account where the parts were remapped from.</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Overrun to this account EAC reflects overrun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1.16.1.3 CWBS Group 300:  Electrical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23,814,188</w:t>
            </w:r>
          </w:p>
        </w:tc>
        <w:tc>
          <w:tcPr>
            <w:tcW w:w="1000" w:type="dxa"/>
          </w:tcPr>
          <w:p>
            <w:pPr>
              <w:jc w:val="right"/>
            </w:pPr>
            <w:r>
              <w:rPr>
                <w:color w:val="000000"/>
                <w:sz w:val="14"/>
                <w:szCs w:val="14"/>
              </w:rPr>
              <w:t xml:space="preserve">27,716,489</w:t>
            </w:r>
          </w:p>
        </w:tc>
        <w:tc>
          <w:tcPr>
            <w:tcW w:w="1000" w:type="dxa"/>
            <w:vAlign w:val="center"/>
            <w:shd w:val="clear" w:fill="FF8080"/>
          </w:tcPr>
          <w:p>
            <w:pPr>
              <w:jc w:val="right"/>
            </w:pPr>
            <w:r>
              <w:rPr>
                <w:color w:val="FFFFFF"/>
                <w:sz w:val="14"/>
                <w:szCs w:val="14"/>
                <w:b/>
                <w:bCs/>
              </w:rPr>
              <w:t xml:space="preserve">(939)</w:t>
            </w:r>
          </w:p>
        </w:tc>
        <w:tc>
          <w:tcPr>
            <w:tcW w:w="1000" w:type="dxa"/>
          </w:tcPr>
          <w:p>
            <w:pPr>
              <w:jc w:val="right"/>
            </w:pPr>
            <w:r>
              <w:rPr>
                <w:color w:val="000000"/>
                <w:sz w:val="14"/>
                <w:szCs w:val="14"/>
              </w:rPr>
              <w:t xml:space="preserve">(939)</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28,962,723</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28,962,723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VACVAR"/>
      </w:tblPr>
      <w:tr>
        <w:trPr>
          <w:trHeight w:val="300" w:hRule="atLeast"/>
        </w:trPr>
        <w:tc>
          <w:tcPr>
            <w:tcW w:w="10000" w:type="dxa"/>
            <w:vAlign w:val="center"/>
            <w:shd w:val="clear" w:fill="76923C"/>
          </w:tcPr>
          <w:p>
            <w:pPr/>
            <w:r>
              <w:rPr>
                <w:color w:val="ffffff"/>
                <w:sz w:val="10"/>
                <w:szCs w:val="10"/>
                <w:b/>
                <w:bCs/>
              </w:rPr>
              <w:t xml:space="preserve">TOP 5 VARCIANCE AT COMPLETE</w:t>
            </w:r>
          </w:p>
        </w:tc>
        <w:tc>
          <w:tcPr>
            <w:tcW w:w="400" w:type="dxa"/>
            <w:vAlign w:val="center"/>
            <w:shd w:val="clear" w:fill="76923C"/>
          </w:tcPr>
          <w:p>
            <w:pPr/>
            <w:r>
              <w:rPr>
                <w:color w:val="ffffff"/>
                <w:sz w:val="10"/>
                <w:szCs w:val="10"/>
                <w:b/>
                <w:bCs/>
              </w:rPr>
              <w:t xml:space="preserve">Budget </w:t>
            </w:r>
          </w:p>
        </w:tc>
        <w:tc>
          <w:tcPr>
            <w:tcW w:w="400" w:type="dxa"/>
            <w:vAlign w:val="center"/>
            <w:shd w:val="clear" w:fill="76923C"/>
          </w:tcPr>
          <w:p>
            <w:pPr/>
            <w:r>
              <w:rPr>
                <w:color w:val="ffffff"/>
                <w:sz w:val="10"/>
                <w:szCs w:val="10"/>
                <w:b/>
                <w:bCs/>
              </w:rPr>
              <w:t xml:space="preserve">EAC</w:t>
            </w:r>
          </w:p>
        </w:tc>
        <w:tc>
          <w:tcPr>
            <w:tcW w:w="400" w:type="dxa"/>
            <w:vAlign w:val="center"/>
            <w:shd w:val="clear" w:fill="76923C"/>
          </w:tcPr>
          <w:p>
            <w:pPr/>
            <w:r>
              <w:rPr>
                <w:color w:val="ffffff"/>
                <w:sz w:val="10"/>
                <w:szCs w:val="10"/>
                <w:b/>
                <w:bCs/>
              </w:rPr>
              <w:t xml:space="preserve">Variance</w:t>
            </w:r>
          </w:p>
        </w:tc>
        <w:tc>
          <w:tcPr>
            <w:tcW w:w="400" w:type="dxa"/>
            <w:vAlign w:val="center"/>
            <w:shd w:val="clear" w:fill="76923C"/>
          </w:tcPr>
          <w:p>
            <w:pPr/>
            <w:r>
              <w:rPr>
                <w:color w:val="ffffff"/>
                <w:sz w:val="10"/>
                <w:szCs w:val="10"/>
                <w:b/>
                <w:bCs/>
              </w:rPr>
              <w:t xml:space="preserve">TCPI</w:t>
            </w:r>
          </w:p>
        </w:tc>
        <w:tc>
          <w:tcPr>
            <w:tcW w:w="400" w:type="dxa"/>
            <w:vAlign w:val="center"/>
            <w:shd w:val="clear" w:fill="76923C"/>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2DBDB"/>
          </w:tcPr>
          <w:p>
            <w:pPr>
              <w:jc w:val="right"/>
            </w:pPr>
            <w:r>
              <w:rPr>
                <w:color w:val="000000"/>
                <w:sz w:val="10"/>
                <w:szCs w:val="10"/>
              </w:rPr>
              <w:t xml:space="preserve">34,031</w:t>
            </w:r>
          </w:p>
        </w:tc>
        <w:tc>
          <w:tcPr>
            <w:tcW w:w="400" w:type="dxa"/>
            <w:vAlign w:val="center"/>
            <w:shd w:val="clear" w:fill="F2DBDB"/>
          </w:tcPr>
          <w:p>
            <w:pPr>
              <w:jc w:val="right"/>
            </w:pPr>
            <w:r>
              <w:rPr>
                <w:color w:val="000000"/>
                <w:sz w:val="10"/>
                <w:szCs w:val="10"/>
              </w:rPr>
              <w:t xml:space="preserve">35,544</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2DBDB"/>
          </w:tcPr>
          <w:p>
            <w:pPr>
              <w:jc w:val="right"/>
            </w:pPr>
            <w:r>
              <w:rPr>
                <w:color w:val="000000"/>
                <w:sz w:val="10"/>
                <w:szCs w:val="10"/>
              </w:rPr>
              <w:t xml:space="preserve">16,542</w:t>
            </w:r>
          </w:p>
        </w:tc>
        <w:tc>
          <w:tcPr>
            <w:tcW w:w="400" w:type="dxa"/>
            <w:vAlign w:val="center"/>
            <w:shd w:val="clear" w:fill="F2DBDB"/>
          </w:tcPr>
          <w:p>
            <w:pPr>
              <w:jc w:val="right"/>
            </w:pPr>
            <w:r>
              <w:rPr>
                <w:color w:val="000000"/>
                <w:sz w:val="10"/>
                <w:szCs w:val="10"/>
              </w:rPr>
              <w:t xml:space="preserve">22,762</w:t>
            </w:r>
          </w:p>
        </w:tc>
        <w:tc>
          <w:tcPr>
            <w:tcW w:w="400" w:type="dxa"/>
            <w:vAlign w:val="center"/>
            <w:shd w:val="clear" w:fill="F2DBDB"/>
          </w:tcPr>
          <w:p>
            <w:pPr>
              <w:jc w:val="right"/>
            </w:pPr>
            <w:r>
              <w:rPr>
                <w:color w:val="000000"/>
                <w:sz w:val="10"/>
                <w:szCs w:val="10"/>
              </w:rPr>
              <w:t xml:space="preserve">(6)</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4</w:t>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2DBDB"/>
          </w:tcPr>
          <w:p>
            <w:pPr>
              <w:jc w:val="right"/>
            </w:pPr>
            <w:r>
              <w:rPr>
                <w:color w:val="000000"/>
                <w:sz w:val="10"/>
                <w:szCs w:val="10"/>
              </w:rPr>
              <w:t xml:space="preserve">24,753</w:t>
            </w:r>
          </w:p>
        </w:tc>
        <w:tc>
          <w:tcPr>
            <w:tcW w:w="400" w:type="dxa"/>
            <w:vAlign w:val="center"/>
            <w:shd w:val="clear" w:fill="F2DBDB"/>
          </w:tcPr>
          <w:p>
            <w:pPr>
              <w:jc w:val="right"/>
            </w:pPr>
            <w:r>
              <w:rPr>
                <w:color w:val="000000"/>
                <w:sz w:val="10"/>
                <w:szCs w:val="10"/>
              </w:rPr>
              <w:t xml:space="preserve">28,962</w:t>
            </w:r>
          </w:p>
        </w:tc>
        <w:tc>
          <w:tcPr>
            <w:tcW w:w="400" w:type="dxa"/>
            <w:vAlign w:val="center"/>
            <w:shd w:val="clear" w:fill="F2DBDB"/>
          </w:tcPr>
          <w:p>
            <w:pPr>
              <w:jc w:val="right"/>
            </w:pPr>
            <w:r>
              <w:rPr>
                <w:color w:val="000000"/>
                <w:sz w:val="10"/>
                <w:szCs w:val="10"/>
              </w:rPr>
              <w:t xml:space="preserve">(4)</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5</w:t>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2DBDB"/>
          </w:tcPr>
          <w:p>
            <w:pPr>
              <w:jc w:val="right"/>
            </w:pPr>
            <w:r>
              <w:rPr>
                <w:color w:val="000000"/>
                <w:sz w:val="10"/>
                <w:szCs w:val="10"/>
              </w:rPr>
              <w:t xml:space="preserve">3,713</w:t>
            </w:r>
          </w:p>
        </w:tc>
        <w:tc>
          <w:tcPr>
            <w:tcW w:w="400" w:type="dxa"/>
            <w:vAlign w:val="center"/>
            <w:shd w:val="clear" w:fill="F2DBDB"/>
          </w:tcPr>
          <w:p>
            <w:pPr>
              <w:jc w:val="right"/>
            </w:pPr>
            <w:r>
              <w:rPr>
                <w:color w:val="000000"/>
                <w:sz w:val="10"/>
                <w:szCs w:val="10"/>
              </w:rPr>
              <w:t xml:space="preserve">4,431</w:t>
            </w:r>
          </w:p>
        </w:tc>
        <w:tc>
          <w:tcPr>
            <w:tcW w:w="400" w:type="dxa"/>
            <w:vAlign w:val="center"/>
            <w:shd w:val="clear" w:fill="F2DBDB"/>
          </w:tcPr>
          <w:p>
            <w:pPr>
              <w:jc w:val="right"/>
            </w:pPr>
            <w:r>
              <w:rPr>
                <w:color w:val="000000"/>
                <w:sz w:val="10"/>
                <w:szCs w:val="10"/>
              </w:rPr>
              <w:t xml:space="preserve">(717)</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2DBDB"/>
          </w:tcPr>
          <w:p>
            <w:pPr>
              <w:jc w:val="right"/>
            </w:pPr>
            <w:r>
              <w:rPr>
                <w:color w:val="000000"/>
                <w:sz w:val="10"/>
                <w:szCs w:val="10"/>
              </w:rPr>
              <w:t xml:space="preserve">34,896</w:t>
            </w:r>
          </w:p>
        </w:tc>
        <w:tc>
          <w:tcPr>
            <w:tcW w:w="400" w:type="dxa"/>
            <w:vAlign w:val="center"/>
            <w:shd w:val="clear" w:fill="F2DBDB"/>
          </w:tcPr>
          <w:p>
            <w:pPr>
              <w:jc w:val="right"/>
            </w:pPr>
            <w:r>
              <w:rPr>
                <w:color w:val="000000"/>
                <w:sz w:val="10"/>
                <w:szCs w:val="10"/>
              </w:rPr>
              <w:t xml:space="preserve">43,702</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2DBDB"/>
          </w:tcPr>
          <w:p>
            <w:pPr>
              <w:jc w:val="right"/>
            </w:pPr>
            <w:r>
              <w:rPr>
                <w:color w:val="000000"/>
                <w:sz w:val="10"/>
                <w:szCs w:val="10"/>
              </w:rPr>
              <w:t xml:space="preserve">17,558</w:t>
            </w:r>
          </w:p>
        </w:tc>
        <w:tc>
          <w:tcPr>
            <w:tcW w:w="400" w:type="dxa"/>
            <w:vAlign w:val="center"/>
            <w:shd w:val="clear" w:fill="F2DBDB"/>
          </w:tcPr>
          <w:p>
            <w:pPr>
              <w:jc w:val="right"/>
            </w:pPr>
            <w:r>
              <w:rPr>
                <w:color w:val="000000"/>
                <w:sz w:val="10"/>
                <w:szCs w:val="10"/>
              </w:rPr>
              <w:t xml:space="preserve">25,759</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2DBDB"/>
          </w:tcPr>
          <w:p>
            <w:pPr>
              <w:jc w:val="right"/>
            </w:pPr>
            <w:r>
              <w:rPr>
                <w:color w:val="000000"/>
                <w:sz w:val="10"/>
                <w:szCs w:val="10"/>
              </w:rPr>
              <w:t xml:space="preserve">390</w:t>
            </w:r>
          </w:p>
        </w:tc>
        <w:tc>
          <w:tcPr>
            <w:tcW w:w="400" w:type="dxa"/>
            <w:vAlign w:val="center"/>
            <w:shd w:val="clear" w:fill="F2DBDB"/>
          </w:tcPr>
          <w:p>
            <w:pPr>
              <w:jc w:val="right"/>
            </w:pPr>
            <w:r>
              <w:rPr>
                <w:color w:val="000000"/>
                <w:sz w:val="10"/>
                <w:szCs w:val="10"/>
              </w:rPr>
              <w:t xml:space="preserve">374</w:t>
            </w:r>
          </w:p>
        </w:tc>
        <w:tc>
          <w:tcPr>
            <w:tcW w:w="400" w:type="dxa"/>
            <w:vAlign w:val="center"/>
            <w:shd w:val="clear" w:fill="F2DBDB"/>
          </w:tcPr>
          <w:p>
            <w:pPr>
              <w:jc w:val="right"/>
            </w:pPr>
            <w:r>
              <w:rPr>
                <w:color w:val="000000"/>
                <w:sz w:val="10"/>
                <w:szCs w:val="10"/>
              </w:rPr>
              <w:t xml:space="preserve">15</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2DBDB"/>
          </w:tcPr>
          <w:p>
            <w:pPr>
              <w:jc w:val="right"/>
            </w:pPr>
            <w:r>
              <w:rPr>
                <w:color w:val="000000"/>
                <w:sz w:val="10"/>
                <w:szCs w:val="10"/>
              </w:rPr>
              <w:t xml:space="preserve">6,894</w:t>
            </w:r>
          </w:p>
        </w:tc>
        <w:tc>
          <w:tcPr>
            <w:tcW w:w="400" w:type="dxa"/>
            <w:vAlign w:val="center"/>
            <w:shd w:val="clear" w:fill="F2DBDB"/>
          </w:tcPr>
          <w:p>
            <w:pPr>
              <w:jc w:val="right"/>
            </w:pPr>
            <w:r>
              <w:rPr>
                <w:color w:val="000000"/>
                <w:sz w:val="10"/>
                <w:szCs w:val="10"/>
              </w:rPr>
              <w:t xml:space="preserve">8,270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2DBDB"/>
          </w:tcPr>
          <w:p>
            <w:pPr>
              <w:jc w:val="right"/>
            </w:pPr>
            <w:r>
              <w:rPr>
                <w:color w:val="000000"/>
                <w:sz w:val="10"/>
                <w:szCs w:val="10"/>
              </w:rPr>
              <w:t xml:space="preserve">27,933</w:t>
            </w:r>
          </w:p>
        </w:tc>
        <w:tc>
          <w:tcPr>
            <w:tcW w:w="400" w:type="dxa"/>
            <w:vAlign w:val="center"/>
            <w:shd w:val="clear" w:fill="F2DBDB"/>
          </w:tcPr>
          <w:p>
            <w:pPr>
              <w:jc w:val="right"/>
            </w:pPr>
            <w:r>
              <w:rPr>
                <w:color w:val="000000"/>
                <w:sz w:val="10"/>
                <w:szCs w:val="10"/>
              </w:rPr>
              <w:t xml:space="preserve">37,465</w:t>
            </w:r>
          </w:p>
        </w:tc>
        <w:tc>
          <w:tcPr>
            <w:tcW w:w="400" w:type="dxa"/>
            <w:vAlign w:val="center"/>
            <w:shd w:val="clear" w:fill="F2DBDB"/>
          </w:tcPr>
          <w:p>
            <w:pPr>
              <w:jc w:val="right"/>
            </w:pPr>
            <w:r>
              <w:rPr>
                <w:color w:val="000000"/>
                <w:sz w:val="10"/>
                <w:szCs w:val="10"/>
              </w:rPr>
              <w:t xml:space="preserve">(9)</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2DBDB"/>
          </w:tcPr>
          <w:p>
            <w:pPr>
              <w:jc w:val="right"/>
            </w:pPr>
            <w:r>
              <w:rPr>
                <w:color w:val="000000"/>
                <w:sz w:val="10"/>
                <w:szCs w:val="10"/>
              </w:rPr>
              <w:t xml:space="preserve">2,123</w:t>
            </w:r>
          </w:p>
        </w:tc>
        <w:tc>
          <w:tcPr>
            <w:tcW w:w="400" w:type="dxa"/>
            <w:vAlign w:val="center"/>
            <w:shd w:val="clear" w:fill="F2DBDB"/>
          </w:tcPr>
          <w:p>
            <w:pPr>
              <w:jc w:val="right"/>
            </w:pPr>
            <w:r>
              <w:rPr>
                <w:color w:val="000000"/>
                <w:sz w:val="10"/>
                <w:szCs w:val="10"/>
              </w:rPr>
              <w:t xml:space="preserve">1,768</w:t>
            </w:r>
          </w:p>
        </w:tc>
        <w:tc>
          <w:tcPr>
            <w:tcW w:w="400" w:type="dxa"/>
            <w:vAlign w:val="center"/>
            <w:shd w:val="clear" w:fill="F2DBDB"/>
          </w:tcPr>
          <w:p>
            <w:pPr>
              <w:jc w:val="right"/>
            </w:pPr>
            <w:r>
              <w:rPr>
                <w:color w:val="000000"/>
                <w:sz w:val="10"/>
                <w:szCs w:val="10"/>
              </w:rPr>
              <w:t xml:space="preserve">354</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2DBDB"/>
          </w:tcPr>
          <w:p>
            <w:pPr>
              <w:jc w:val="right"/>
            </w:pPr>
            <w:r>
              <w:rPr>
                <w:color w:val="000000"/>
                <w:sz w:val="10"/>
                <w:szCs w:val="10"/>
              </w:rPr>
              <w:t xml:space="preserve">4,565</w:t>
            </w:r>
          </w:p>
        </w:tc>
        <w:tc>
          <w:tcPr>
            <w:tcW w:w="400" w:type="dxa"/>
            <w:vAlign w:val="center"/>
            <w:shd w:val="clear" w:fill="F2DBDB"/>
          </w:tcPr>
          <w:p>
            <w:pPr>
              <w:jc w:val="right"/>
            </w:pPr>
            <w:r>
              <w:rPr>
                <w:color w:val="000000"/>
                <w:sz w:val="10"/>
                <w:szCs w:val="10"/>
              </w:rPr>
              <w:t xml:space="preserve">7,670</w:t>
            </w:r>
          </w:p>
        </w:tc>
        <w:tc>
          <w:tcPr>
            <w:tcW w:w="400" w:type="dxa"/>
            <w:vAlign w:val="center"/>
            <w:shd w:val="clear" w:fill="F2DBDB"/>
          </w:tcPr>
          <w:p>
            <w:pPr>
              <w:jc w:val="right"/>
            </w:pPr>
            <w:r>
              <w:rPr>
                <w:color w:val="000000"/>
                <w:sz w:val="10"/>
                <w:szCs w:val="10"/>
              </w:rPr>
              <w:t xml:space="preserve">(3)</w:t>
            </w:r>
          </w:p>
        </w:tc>
        <w:tc>
          <w:tcPr>
            <w:tcW w:w="400" w:type="dxa"/>
            <w:vAlign w:val="center"/>
            <w:shd w:val="clear" w:fill="F2DBDB"/>
          </w:tcPr>
          <w:p>
            <w:pPr>
              <w:jc w:val="right"/>
            </w:pPr>
            <w:r>
              <w:rPr>
                <w:color w:val="000000"/>
                <w:sz w:val="10"/>
                <w:szCs w:val="10"/>
              </w:rPr>
              <w:t xml:space="preserve">0</w:t>
            </w:r>
          </w:p>
        </w:tc>
        <w:tc>
          <w:tcPr>
            <w:tcW w:w="400" w:type="dxa"/>
            <w:vAlign w:val="center"/>
            <w:shd w:val="clear" w:fill="4F6228"/>
          </w:tcPr>
          <w:p>
            <w:pPr>
              <w:jc w:val="right"/>
            </w:pPr>
            <w:r>
              <w:rPr>
                <w:color w:val="ffffff"/>
                <w:sz w:val="10"/>
                <w:szCs w:val="10"/>
                <w:b/>
                <w:bCs/>
              </w:rPr>
              <w:t xml:space="preserve"/>
            </w:r>
          </w:p>
        </w:tc>
      </w:tr>
      <w:tr>
        <w:trPr>
          <w:trHeight w:val="200" w:hRule="exact"/>
        </w:trPr>
        <w:tc>
          <w:tcPr>
            <w:tcW w:w="10000" w:type="dxa"/>
            <w:vAlign w:val="center"/>
            <w:shd w:val="clear" w:fill="76923C"/>
          </w:tcPr>
          <w:p>
            <w:pPr/>
            <w:r>
              <w:rPr>
                <w:color w:val="ffffff"/>
                <w:sz w:val="10"/>
                <w:szCs w:val="10"/>
                <w:b/>
                <w:bCs/>
              </w:rPr>
              <w:t xml:space="preserve">Total</w:t>
            </w:r>
          </w:p>
        </w:tc>
        <w:tc>
          <w:tcPr>
            <w:tcW w:w="400" w:type="dxa"/>
            <w:vAlign w:val="center"/>
            <w:shd w:val="clear" w:fill="76923C"/>
          </w:tcPr>
          <w:p>
            <w:pPr>
              <w:jc w:val="center"/>
            </w:pPr>
            <w:r>
              <w:rPr>
                <w:color w:val="ffffff"/>
                <w:sz w:val="10"/>
                <w:szCs w:val="10"/>
                <w:b/>
                <w:bCs/>
              </w:rPr>
              <w:t xml:space="preserve">173,404</w:t>
            </w:r>
          </w:p>
        </w:tc>
        <w:tc>
          <w:tcPr>
            <w:tcW w:w="400" w:type="dxa"/>
            <w:vAlign w:val="center"/>
            <w:shd w:val="clear" w:fill="76923C"/>
          </w:tcPr>
          <w:p>
            <w:pPr>
              <w:jc w:val="center"/>
            </w:pPr>
            <w:r>
              <w:rPr>
                <w:color w:val="ffffff"/>
                <w:sz w:val="10"/>
                <w:szCs w:val="10"/>
                <w:b/>
                <w:bCs/>
              </w:rPr>
              <w:t xml:space="preserve">216,713</w:t>
            </w:r>
          </w:p>
        </w:tc>
        <w:tc>
          <w:tcPr>
            <w:tcW w:w="400" w:type="dxa"/>
            <w:vAlign w:val="center"/>
            <w:shd w:val="clear" w:fill="76923C"/>
          </w:tcPr>
          <w:p>
            <w:pPr>
              <w:jc w:val="center"/>
            </w:pPr>
            <w:r>
              <w:rPr>
                <w:color w:val="000000"/>
                <w:sz w:val="10"/>
                <w:szCs w:val="10"/>
              </w:rPr>
              <w:t xml:space="preserve">(43)</w:t>
            </w:r>
          </w:p>
        </w:tc>
        <w:tc>
          <w:tcPr>
            <w:tcW w:w="400" w:type="dxa"/>
            <w:vAlign w:val="center"/>
            <w:shd w:val="clear" w:fill="76923C"/>
          </w:tcPr>
          <w:p>
            <w:pPr>
              <w:jc w:val="center"/>
            </w:pPr>
            <w:r>
              <w:rPr>
                <w:color w:val="ffffff"/>
                <w:sz w:val="10"/>
                <w:szCs w:val="10"/>
                <w:b/>
                <w:bCs/>
              </w:rPr>
              <w:t xml:space="preserve">0.81</w:t>
            </w:r>
          </w:p>
        </w:tc>
        <w:tc>
          <w:tcPr>
            <w:tcW w:w="400" w:type="dxa"/>
            <w:vAlign w:val="center"/>
            <w:shd w:val="clear" w:fill="76923C"/>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($777K)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($4,777K)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Due to the delays that have occured, the duration of the final Manufacturing Supervision Support being increased, an EAC increase is very likely going to occur in coming months.</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($777K)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($4,777K)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Due to the delays that have occured, the duration of the final Manufacturing Supervision Support being increased, an EAC increase is very likely going to occur in coming months.</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($777K)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($4,777K)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Due to the delays that have occured, the duration of the final Manufacturing Supervision Support being increased, an EAC increase is very likely going to occur in coming months.</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1.16.1.6 CWBS Group 600:  Outfitting and Furnishings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16,925,391</w:t>
            </w:r>
          </w:p>
        </w:tc>
        <w:tc>
          <w:tcPr>
            <w:tcW w:w="1000" w:type="dxa"/>
          </w:tcPr>
          <w:p>
            <w:pPr>
              <w:jc w:val="right"/>
            </w:pPr>
            <w:r>
              <w:rPr>
                <w:color w:val="000000"/>
                <w:sz w:val="14"/>
                <w:szCs w:val="14"/>
              </w:rPr>
              <w:t xml:space="preserve">24,959,389</w:t>
            </w:r>
          </w:p>
        </w:tc>
        <w:tc>
          <w:tcPr>
            <w:tcW w:w="1000" w:type="dxa"/>
            <w:vAlign w:val="center"/>
            <w:shd w:val="clear" w:fill="FF8080"/>
          </w:tcPr>
          <w:p>
            <w:pPr>
              <w:jc w:val="right"/>
            </w:pPr>
            <w:r>
              <w:rPr>
                <w:color w:val="FFFFFF"/>
                <w:sz w:val="14"/>
                <w:szCs w:val="14"/>
                <w:b/>
                <w:bCs/>
              </w:rPr>
              <w:t xml:space="preserve">(633)</w:t>
            </w:r>
          </w:p>
        </w:tc>
        <w:tc>
          <w:tcPr>
            <w:tcW w:w="1000" w:type="dxa"/>
          </w:tcPr>
          <w:p>
            <w:pPr>
              <w:jc w:val="right"/>
            </w:pPr>
            <w:r>
              <w:rPr>
                <w:color w:val="000000"/>
                <w:sz w:val="14"/>
                <w:szCs w:val="14"/>
              </w:rPr>
              <w:t xml:space="preserve">(633)</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25,759,348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25,759,348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1.16.1.6.635.301 / 301 SWBS 635 Thermal: Acoustic &amp; Fire Ins Material</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($1,556K)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additional authorized rework for Robinson Brothers thermal insulation and fire retardant material. This is a result of missed hotwork by MMC in SOC 2/3</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as this is authorized rework to the FFP vendor, which results in an increased EAC. MMC has increased awareness to entrance criteria for vendor to begin insulation</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This will increase the cost of the ship. EAC is reflective of the expected cost.</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1.16.1.5 CWBS Group 500:  Auxiliary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34,893,822</w:t>
            </w:r>
          </w:p>
        </w:tc>
        <w:tc>
          <w:tcPr>
            <w:tcW w:w="1000" w:type="dxa"/>
          </w:tcPr>
          <w:p>
            <w:pPr>
              <w:jc w:val="right"/>
            </w:pPr>
            <w:r>
              <w:rPr>
                <w:color w:val="000000"/>
                <w:sz w:val="14"/>
                <w:szCs w:val="14"/>
              </w:rPr>
              <w:t xml:space="preserve">33,593,793</w:t>
            </w:r>
          </w:p>
        </w:tc>
        <w:tc>
          <w:tcPr>
            <w:tcW w:w="1000" w:type="dxa"/>
          </w:tcPr>
          <w:p>
            <w:pPr>
              <w:jc w:val="right"/>
            </w:pPr>
            <w:r>
              <w:rPr>
                <w:color w:val="000000"/>
                <w:sz w:val="14"/>
                <w:szCs w:val="14"/>
              </w:rPr>
              <w:t xml:space="preserve">41,626,340</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34,896,458</w:t>
            </w:r>
          </w:p>
        </w:tc>
        <w:tc>
          <w:tcPr>
            <w:tcW w:w="1000" w:type="dxa"/>
          </w:tcPr>
          <w:p>
            <w:pPr>
              <w:jc w:val="right"/>
            </w:pPr>
            <w:r>
              <w:rPr>
                <w:color w:val="000000"/>
                <w:sz w:val="14"/>
                <w:szCs w:val="14"/>
              </w:rPr>
              <w:t xml:space="preserve">43,702,768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43,702,768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($1,581K)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($2,767K)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($974K)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 however no changes have occured since Month End November.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($1,581K)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($2,767K)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($974K)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 however no changes have occured since Month End November.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($1,581K)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($2,767K)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($974K)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 however no changes have occured since Month End November.</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1.16.1.2 CWBS Group 200:  Propulsion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15,117,333</w:t>
            </w:r>
          </w:p>
        </w:tc>
        <w:tc>
          <w:tcPr>
            <w:tcW w:w="1000" w:type="dxa"/>
          </w:tcPr>
          <w:p>
            <w:pPr>
              <w:jc w:val="right"/>
            </w:pPr>
            <w:r>
              <w:rPr>
                <w:color w:val="000000"/>
                <w:sz w:val="14"/>
                <w:szCs w:val="14"/>
              </w:rPr>
              <w:t xml:space="preserve">20,933,231</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(5)</w:t>
            </w:r>
          </w:p>
        </w:tc>
        <w:tc>
          <w:tcPr>
            <w:tcW w:w="1000" w:type="dxa"/>
          </w:tcPr>
          <w:p>
            <w:pPr>
              <w:jc w:val="right"/>
            </w:pPr>
            <w:r>
              <w:rPr>
                <w:color w:val="000000"/>
                <w:sz w:val="14"/>
                <w:szCs w:val="14"/>
              </w:rPr>
              <w:t xml:space="preserve">(5)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22,762,193</w:t>
            </w:r>
          </w:p>
        </w:tc>
        <w:tc>
          <w:tcPr>
            <w:tcW w:w="1000" w:type="dxa"/>
            <w:vAlign w:val="center"/>
            <w:shd w:val="clear" w:fill="FF8080"/>
          </w:tcPr>
          <w:p>
            <w:pPr>
              <w:jc w:val="right"/>
            </w:pPr>
            <w:r>
              <w:rPr>
                <w:color w:val="FFFFFF"/>
                <w:sz w:val="14"/>
                <w:szCs w:val="14"/>
                <w:b/>
                <w:bCs/>
              </w:rPr>
              <w:t xml:space="preserve">(6)</w:t>
            </w:r>
          </w:p>
        </w:tc>
        <w:tc>
          <w:tcPr>
            <w:tcW w:w="1000" w:type="dxa"/>
          </w:tcPr>
          <w:p>
            <w:pPr>
              <w:jc w:val="right"/>
            </w:pPr>
            <w:r>
              <w:rPr>
                <w:color w:val="000000"/>
                <w:sz w:val="14"/>
                <w:szCs w:val="14"/>
              </w:rPr>
              <w:t xml:space="preserve">(6)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22,762,193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1.16.1.2.247.301 / 301 SWBS 247 Water Jets Material</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($709K)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the remapping of parts to this control account that were initially being mapped to the wrong control account in error. The variance is caused by the remapping of the actual costs.</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Although there will be an overrun to this account, there is a decrease to the account where the parts were remapped from.</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Overrun to this account EAC reflects overrun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1.16.1.2.262.301 / 301 SWBS 262 Lubrication System Material</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($360K)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Lubrication System commodity material needs and quantity revisions due to Engineering Change Notices, Field Change Notices, and field run pipe needs increasing the demand for more material, thus more costs. ''</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Manufacturing Performance Initiatives have been formed at FMM to monitor and implement improved material controls. POD drawings and related modeling will improve the accuracy of the Bill of Materials for future vessels; these efforts will show minimal improvements on this vessel, but contribute to improved cost going forward.</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This variance is not recoverable and will increase the total cost of the program. EAC is accurate</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($1,175K)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($1,043K)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($861K)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($1,175K)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($1,043K)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($861K)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($1,175K)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($1,043K)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76933C"/>
          </w:tcPr>
          <w:p>
            <w:pPr>
              <w:spacing w:after="0"/>
            </w:pPr>
            <w:r>
              <w:rPr>
                <w:color w:val="FFFFFF"/>
                <w:sz w:val="16"/>
                <w:szCs w:val="16"/>
                <w:b/>
                <w:bCs/>
              </w:rPr>
              <w:t xml:space="preserve">Control Account</w:t>
            </w:r>
          </w:p>
        </w:tc>
        <w:tc>
          <w:tcPr>
            <w:tcW w:w="8000" w:type="dxa"/>
            <w:vAlign w:val="center"/>
            <w:shd w:val="clear" w:fill="D8E4BC"/>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76933C"/>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76933C"/>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Variance At Complete (VAC) for January month end reporting period is ($861K)</w:t>
            </w:r>
          </w:p>
        </w:tc>
      </w:tr>
      <w:tr>
        <w:trPr>
          <w:trHeight w:val="500" w:hRule="atLeast"/>
          <w:cantSplit w:val="1"/>
        </w:trPr>
        <w:tc>
          <w:tcPr>
            <w:tcW w:w="1500" w:type="dxa"/>
            <w:vAlign w:val="center"/>
            <w:shd w:val="clear" w:fill="76933C"/>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variance at complete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76933C"/>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76933C"/>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1.16.1.3 CWBS Group 300:  Electrical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23,814,188</w:t>
            </w:r>
          </w:p>
        </w:tc>
        <w:tc>
          <w:tcPr>
            <w:tcW w:w="1000" w:type="dxa"/>
          </w:tcPr>
          <w:p>
            <w:pPr>
              <w:jc w:val="right"/>
            </w:pPr>
            <w:r>
              <w:rPr>
                <w:color w:val="000000"/>
                <w:sz w:val="14"/>
                <w:szCs w:val="14"/>
              </w:rPr>
              <w:t xml:space="preserve">27,716,489</w:t>
            </w:r>
          </w:p>
        </w:tc>
        <w:tc>
          <w:tcPr>
            <w:tcW w:w="1000" w:type="dxa"/>
            <w:vAlign w:val="center"/>
            <w:shd w:val="clear" w:fill="FF8080"/>
          </w:tcPr>
          <w:p>
            <w:pPr>
              <w:jc w:val="right"/>
            </w:pPr>
            <w:r>
              <w:rPr>
                <w:color w:val="FFFFFF"/>
                <w:sz w:val="14"/>
                <w:szCs w:val="14"/>
                <w:b/>
                <w:bCs/>
              </w:rPr>
              <w:t xml:space="preserve">(939)</w:t>
            </w:r>
          </w:p>
        </w:tc>
        <w:tc>
          <w:tcPr>
            <w:tcW w:w="1000" w:type="dxa"/>
          </w:tcPr>
          <w:p>
            <w:pPr>
              <w:jc w:val="right"/>
            </w:pPr>
            <w:r>
              <w:rPr>
                <w:color w:val="000000"/>
                <w:sz w:val="14"/>
                <w:szCs w:val="14"/>
              </w:rPr>
              <w:t xml:space="preserve">(939)</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28,962,723</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28,962,723</w:t>
            </w:r>
          </w:p>
        </w:tc>
        <w:tc>
          <w:tcPr>
            <w:tcW w:w="3000" w:type="dxa"/>
            <w:gridSpan w:val="3"/>
          </w:tcPr>
          <w:p>
            <w:pPr/>
            <w:r>
              <w:rPr/>
              <w:t xml:space="preserve"/>
            </w:r>
          </w:p>
        </w:tc>
      </w:tr>
    </w:tbl>
    <w:sectPr>
      <w:type w:val="continuous"/>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tblStylePr w:type="firstRow">
      <w:tcPr>
        <w:tcPr>
          <w:shd w:val="clear" w:fill="E36C0A"/>
        </w:tcPr>
      </w:tcPr>
    </w:tblStylePr>
  </w:style>
  <w:style w:type="table" w:customStyle="1" w:styleId="this is it">
    <w:name w:val="this is it"/>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tblStylePr w:type="firstRow">
      <w:tcPr/>
    </w:tblStylePr>
  </w:style>
  <w:style w:type="table" w:customStyle="1" w:styleId="CUR COST VAR">
    <w:name w:val="CUR COST VAR"/>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style>
  <w:style w:type="table" w:customStyle="1" w:styleId="CUM SV">
    <w:name w:val="CUM SV"/>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tblStylePr w:type="firstRow">
      <w:tcPr>
        <w:tcPr>
          <w:shd w:val="clear" w:fill="E36C0A"/>
        </w:tcPr>
      </w:tcPr>
    </w:tblStylePr>
  </w:style>
  <w:style w:type="table" w:customStyle="1" w:styleId="VACVAR">
    <w:name w:val="VACVAR"/>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2018-03-01T22:42:36+01:00</dcterms:created>
  <dcterms:modified xsi:type="dcterms:W3CDTF">2018-03-01T22:42:36+01:00</dcterms:modified>
</cp:coreProperties>
</file>

<file path=docProps/custom.xml><?xml version="1.0" encoding="utf-8"?>
<Properties xmlns="http://schemas.openxmlformats.org/officeDocument/2006/custom-properties" xmlns:vt="http://schemas.openxmlformats.org/officeDocument/2006/docPropsVTypes"/>
</file>