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 </w:t>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Khaddage, Samir</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2020/11/05</w:t>
            </w:r>
          </w:p>
        </w:tc>
      </w:tr>
      <w:tr>
        <w:trPr>
          <w:cantSplit w:val="0"/>
          <w:tblHeader w:val="0"/>
        </w:trPr>
        <w:tc>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1928 </w:t>
            </w:r>
            <w:r w:rsidDel="00000000" w:rsidR="00000000" w:rsidRPr="00000000">
              <w:rPr>
                <w:rFonts w:ascii="Calibri" w:cs="Calibri" w:eastAsia="Calibri" w:hAnsi="Calibri"/>
                <w:rtl w:val="0"/>
              </w:rPr>
              <w:t xml:space="preserve">Kensteele</w:t>
            </w:r>
            <w:r w:rsidDel="00000000" w:rsidR="00000000" w:rsidRPr="00000000">
              <w:rPr>
                <w:rFonts w:ascii="Calibri" w:cs="Calibri" w:eastAsia="Calibri" w:hAnsi="Calibri"/>
                <w:rtl w:val="0"/>
              </w:rPr>
              <w:t xml:space="preserve">, Orleans</w:t>
            </w:r>
          </w:p>
        </w:tc>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1963/07/08</w:t>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294-4646</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Marion, Joan</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The Dominion of Canada General Insurance Company</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ABL1981724-20060</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2024/01/30</w:t>
            </w:r>
          </w:p>
        </w:tc>
      </w:tr>
      <w:tr>
        <w:trPr>
          <w:cantSplit w:val="0"/>
          <w:tblHeader w:val="0"/>
        </w:trPr>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2024/03/15</w:t>
            </w:r>
          </w:p>
        </w:tc>
      </w:tr>
    </w:tbl>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Khaddage was referred to Ferland &amp; Associates Rehabilitation INC. by his legal representative Mr. Frank McNally of McNally Gervan Law firm in the context of a tort claim relating to the subject MVA of November 5, 2020. This assessment was sought in order to document Mr. Khaddage’s overall level of function in relation to his normal life activities and employment.  Also, this therapist was tasked with assessing his ability to manage his housekeeping and home maintenance activities and make any recommendations for replacement services, if indicated.</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Khaddage Samir, represented by Mr. Frank McNally of McNally Gervan, has been through a significant ordeal stemming from a motor vehicle accident (MVA) on November 5, 2020. Before this life-altering event, Mr. Khaddage was in commendable physical and mental health, despite a left-hip resurfacing procedure in 2012 which left him with discomfort but no notable hindrance to his activities. He led an active lifestyle, engaging in sports like soccer and running, indicating a high level of physical fitness and functional independence. Professionally, Mr. Khaddage was fully employed as a taxi driver, working extensive hours that reflected his dedication and capability to manage demanding work schedules without any impairment. </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The subject motor vehicle accident which occurred on November 5, 2020, marked a drastic turn in Mr. Khaddage's life. While executing a left turn at a traffic signal, his vehicle was hit in a T-bone collision on the passenger side. Despite initially appearing uninjured and being advised to report the accident, the severity of his injuries became apparent in the hours following the incident. This event triggered a cascade of medical interventions, including visits to family physicians, orthopedic consultations, and engagement in physical therapy. The injuries sustained included sprains and strains of the lumbar and cervical spine, as well as sciatica, setting off a challenging recovery path for Mr. Khaddage.</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Post-accident, Mr. Khaddage's life has been significantly impacted, with symptoms manifesting across physical, cognitive, and emotional dimensions. Physically, he grapples with persistent pain in his lower back and legs, leading to functional limitations that affect his mobility and daily activities. The physical aftermath of the accident has also imposed a degree of deconditioning, evident in his reduced tolerance for physical exertion. Cognitively, Mr. Khaddage experiences diminished focus, memory issues, and challenges in multitasking, which have further complicated his recovery and ability to engage in previous work and social activities. Emotionally, the accident has taken a toll on </w:t>
      </w:r>
      <w:r w:rsidDel="00000000" w:rsidR="00000000" w:rsidRPr="00000000">
        <w:rPr>
          <w:rFonts w:ascii="Calibri" w:cs="Calibri" w:eastAsia="Calibri" w:hAnsi="Calibri"/>
          <w:rtl w:val="0"/>
        </w:rPr>
        <w:t xml:space="preserve">Mr.</w:t>
      </w:r>
      <w:r w:rsidDel="00000000" w:rsidR="00000000" w:rsidRPr="00000000">
        <w:rPr>
          <w:rFonts w:ascii="Calibri" w:cs="Calibri" w:eastAsia="Calibri" w:hAnsi="Calibri"/>
          <w:rtl w:val="0"/>
        </w:rPr>
        <w:t xml:space="preserve"> Khaddage's mental health, leading to severe anxiety, grief from the dissolution of his marriage, and a profound sense of isolation, deviating significantly from his pre-accident social and engaging personality.</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terms of current function, Mr. Khaddage's life is markedly different from his pre-accident state. His independence in personal care activities persists, albeit with significant adjustments and increased effort. His work life has been compromised, with his capacity to sustain long hours as a taxi driver severely diminished. This reduction in work capacity is not merely a professional setback but also affects his home life, where he is now largely dependent on his daughters for household tasks, a stark contrast to his previous contributions. The convergence of physical limitations, cognitive struggles, and emotional distress has relegated Mr. Khaddage to a life that is a shadow of his former self, with leisure and social activities virtually nonexistent, further exacerbating his sense of isolation and loss.</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The impact of Mr. Khaddage's work activities on his ability to function at home is profound. Despite a significant decrease in working hours, the physical demands of his job exacerbate his pain and fatigue, leaving him with little to no energy for engagement outside of work. This relentless cycle of work and pain has not only hindered his recovery but has also imposed a severe strain on his quality of life, confining him to a state of rest and inactivity during his non-working hours. The need to continue working under such circumstances is driven by financial necessities, underscoring the dire situation Mr. Khaddage finds himself in, where the very act of working to sustain himself and his family perpetuates his physical and emotional distress.</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To summarize, Mr. Khaddage’s life post-accident has been characterized by significant challenges that span the physical, cognitive, and emotional realms. The accident has not only inflicted immediate physical injuries, but has also ushered in long-term changes to his functional abilities, work capacity, and overall quality of life. The path to recovery appears daunting, with ongoing medical and rehabilitative interventions crucial to addressing the multifaceted impacts of the accident. </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b w:val="1"/>
          <w:rtl w:val="0"/>
        </w:rPr>
        <w:t xml:space="preserve">RECOMMENDATIONS RELATING TO HOUSEKEEPING AND HOME MAINTENANCE:</w:t>
      </w: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would benefit from housekeeping and home maintenance assistance to complete the activities he would normally have been required to perform following his wife’s departure to Lebanon with their youngest child.  His two older daughters have reportedly moved-in with him and taken responsibility for completion of these duties, at an estimated rate of </w:t>
      </w:r>
      <w:r w:rsidDel="00000000" w:rsidR="00000000" w:rsidRPr="00000000">
        <w:rPr>
          <w:rFonts w:ascii="Calibri" w:cs="Calibri" w:eastAsia="Calibri" w:hAnsi="Calibri"/>
          <w:b w:val="1"/>
          <w:rtl w:val="0"/>
        </w:rPr>
        <w:t xml:space="preserve">16.85 hours per week </w:t>
      </w:r>
      <w:r w:rsidDel="00000000" w:rsidR="00000000" w:rsidRPr="00000000">
        <w:rPr>
          <w:rFonts w:ascii="Calibri" w:cs="Calibri" w:eastAsia="Calibri" w:hAnsi="Calibri"/>
          <w:rtl w:val="0"/>
        </w:rPr>
        <w:t xml:space="preserve">of assistance provided.  Mr. Khaddage is currently unable to perform any form of housekeeping or home management tasks at this time due to the effects of sustained engagement in the workplace and is completely dependent on assistance provided by his daughters for the upkeep of his home.</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Khaddage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Khaddage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Dominion of Canada General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Insurance c/o </w:t>
      </w:r>
      <w:r w:rsidDel="00000000" w:rsidR="00000000" w:rsidRPr="00000000">
        <w:rPr>
          <w:rFonts w:ascii="Calibri" w:cs="Calibri" w:eastAsia="Calibri" w:hAnsi="Calibri"/>
          <w:rtl w:val="0"/>
        </w:rPr>
        <w:t xml:space="preserve">Joan Marion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Accident Benefits Adjuster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Khaddage granted informed consent for this therapist to proceed with the assessment and any subsequent interventions. </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Hospital Records</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Ottawa Hospital</w:t>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June 4, 2021</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Clinical notes and records received June 8, 2021</w:t>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Family Doctor</w:t>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Dr. Gali </w:t>
      </w:r>
    </w:p>
    <w:p w:rsidR="00000000" w:rsidDel="00000000" w:rsidP="00000000" w:rsidRDefault="00000000" w:rsidRPr="00000000" w14:paraId="00000065">
      <w:pPr>
        <w:numPr>
          <w:ilvl w:val="0"/>
          <w:numId w:val="6"/>
        </w:numPr>
        <w:tabs>
          <w:tab w:val="left" w:leader="none" w:pos="-480"/>
          <w:tab w:val="left" w:leader="none" w:pos="1440"/>
          <w:tab w:val="left" w:leader="none" w:pos="72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800" w:hanging="360"/>
        <w:jc w:val="both"/>
        <w:rPr>
          <w:rFonts w:ascii="Calibri" w:cs="Calibri" w:eastAsia="Calibri" w:hAnsi="Calibri"/>
          <w:u w:val="none"/>
        </w:rPr>
      </w:pPr>
      <w:r w:rsidDel="00000000" w:rsidR="00000000" w:rsidRPr="00000000">
        <w:rPr>
          <w:rFonts w:ascii="Calibri" w:cs="Calibri" w:eastAsia="Calibri" w:hAnsi="Calibri"/>
          <w:rtl w:val="0"/>
        </w:rPr>
        <w:t xml:space="preserve">Clinical notes and records received May 31, 2021</w:t>
      </w:r>
    </w:p>
    <w:p w:rsidR="00000000" w:rsidDel="00000000" w:rsidP="00000000" w:rsidRDefault="00000000" w:rsidRPr="00000000" w14:paraId="00000066">
      <w:pPr>
        <w:tabs>
          <w:tab w:val="left" w:leader="none" w:pos="-480"/>
          <w:tab w:val="left" w:leader="none" w:pos="1440"/>
          <w:tab w:val="left" w:leader="none" w:pos="72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1440"/>
        <w:jc w:val="both"/>
        <w:rPr>
          <w:rFonts w:ascii="Calibri" w:cs="Calibri" w:eastAsia="Calibri" w:hAnsi="Calibri"/>
        </w:rPr>
      </w:pPr>
      <w:r w:rsidDel="00000000" w:rsidR="00000000" w:rsidRPr="00000000">
        <w:rPr>
          <w:rFonts w:ascii="Calibri" w:cs="Calibri" w:eastAsia="Calibri" w:hAnsi="Calibri"/>
          <w:rtl w:val="0"/>
        </w:rPr>
        <w:t xml:space="preserve">(2) Clinical notes and records received June 7, 2021</w:t>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reported being in good physical and mental health prior to the subject MVA. He did confirm a left-hip resurfacing procedure, performed in 2012, which left him with some discomfort, but no reduction in his functional abilities. </w:t>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noted that he was able to play soccer, walk, run without any significant impediment. He denied the presence of any other medical issues or past injuries which could impact his clinical presentation or the course of recovery from injuries he sustained on the date of loss. </w:t>
      </w:r>
    </w:p>
    <w:p w:rsidR="00000000" w:rsidDel="00000000" w:rsidP="00000000" w:rsidRDefault="00000000" w:rsidRPr="00000000" w14:paraId="000000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was involved in an MVA on November 5, 2020 while turning left at a traffic light. He reported that his vehicle was struck in a t-bone fashion on the passenger side. Police were contacted and Mr. Khaddage was told to attend an accident reporting center as he appeared uninjured immediately post-accident. Upon arriving at the reporting center, he reported a sharp increase in his symptoms, resulting in an inability to stand, which became progressively worse into the evening. He indicated that his left leg became numb, leading him to visit his famil;y physician, Dr. Ghali, who sent him for x-rays and sent him to his Orthopedic surgeon to review the state of his left hip. His orthopedic surgeon, Dr. Boulet, who requisitioned an MRI of his left-hip and pelvis. Mr. Khaddage was concurrently referred for physiotherapy through Apollo Physical Therapy Centre, where he attended treatment for approximately one year. This was followed by another year of physical therapy with Bellefleur Physiotherapy, predominantly for his ongoing neck issues.</w:t>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records, Mr. Khaddage sustained the following injuries as a result of the subject MVA. </w:t>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S.33.5   - Sprain and strain of lumbar spine</w:t>
      </w:r>
    </w:p>
    <w:p w:rsidR="00000000" w:rsidDel="00000000" w:rsidP="00000000" w:rsidRDefault="00000000" w:rsidRPr="00000000" w14:paraId="0000007B">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S.13.48 - Other sprain and strain of cervical spine</w:t>
      </w:r>
    </w:p>
    <w:p w:rsidR="00000000" w:rsidDel="00000000" w:rsidP="00000000" w:rsidRDefault="00000000" w:rsidRPr="00000000" w14:paraId="0000007C">
      <w:pPr>
        <w:numPr>
          <w:ilvl w:val="0"/>
          <w:numId w:val="5"/>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M.54.3 -  Sciatica</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reports a difficult recovery from the injuries he sustained in 2020. He noted that he experienced ongoing issues with his lower back and left leg, impacting his ability to sleep, stand, and get out of his car. He notes that his orthopedic surgeon assessed him 1-2 months after the accident, leading to an MRI which reportedly identified issues with his spine. He participated in physiotherapy treatments through 2 different clinics over a 2 year period, and reported limited improvement of his symptoms. Despite his significant pain experience, Mr. Khaddage was forced to remain at work as a taxi driver, secondary to severe financial strain.</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Dr. Ghali, GP</w:t>
            </w:r>
          </w:p>
        </w:tc>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Does not recall</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Dr. Boulet, Orthopedic Surgeon</w:t>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No follow-up scheduled</w:t>
            </w:r>
          </w:p>
        </w:tc>
      </w:tr>
    </w:tbl>
    <w:p w:rsidR="00000000" w:rsidDel="00000000" w:rsidP="00000000" w:rsidRDefault="00000000" w:rsidRPr="00000000" w14:paraId="00000092">
      <w:pPr>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Candesartan &amp; HCTZ</w:t>
            </w:r>
          </w:p>
        </w:tc>
        <w:tc>
          <w:tcPr/>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16/12.5 mg</w:t>
            </w:r>
          </w:p>
        </w:tc>
        <w:tc>
          <w:tcPr/>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Blood-Pressure</w:t>
            </w:r>
          </w:p>
        </w:tc>
      </w:tr>
      <w:tr>
        <w:trPr>
          <w:cantSplit w:val="0"/>
          <w:tblHeader w:val="0"/>
        </w:trPr>
        <w:tc>
          <w:tcPr/>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Rosuvastatin</w:t>
            </w:r>
          </w:p>
        </w:tc>
        <w:tc>
          <w:tcPr/>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mg</w:t>
            </w:r>
          </w:p>
        </w:tc>
        <w:tc>
          <w:tcPr/>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Cholesterol</w:t>
            </w:r>
          </w:p>
        </w:tc>
      </w:tr>
      <w:tr>
        <w:trPr>
          <w:cantSplit w:val="0"/>
          <w:tblHeader w:val="0"/>
        </w:trPr>
        <w:tc>
          <w:tcPr/>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Rabeprazole </w:t>
            </w:r>
          </w:p>
        </w:tc>
        <w:tc>
          <w:tcPr/>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 mg</w:t>
            </w:r>
          </w:p>
        </w:tc>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Acid Reflux</w:t>
            </w:r>
          </w:p>
        </w:tc>
      </w:tr>
      <w:tr>
        <w:trPr>
          <w:cantSplit w:val="0"/>
          <w:tblHeader w:val="0"/>
        </w:trPr>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Tylenol 3 + Codeine + Caffeine</w:t>
            </w:r>
          </w:p>
        </w:tc>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300 / 15 / 30 mg</w:t>
            </w:r>
          </w:p>
        </w:tc>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Management</w:t>
            </w:r>
          </w:p>
        </w:tc>
      </w:tr>
      <w:tr>
        <w:trPr>
          <w:cantSplit w:val="0"/>
          <w:tblHeader w:val="0"/>
        </w:trPr>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Vitamin B12</w:t>
            </w:r>
          </w:p>
        </w:tc>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bl>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reports experiencing intermittent headaches which can last for several days at a time when they occur. At the time of this assessment, Mr. Khaddage reports having experienced a headache for the last 4 days, and is still unable to eliminate it through the use of medication when at rest.</w:t>
            </w:r>
          </w:p>
        </w:tc>
        <w:tc>
          <w:tcPr/>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0-6/10</w:t>
            </w:r>
          </w:p>
        </w:tc>
      </w:tr>
      <w:tr>
        <w:trPr>
          <w:cantSplit w:val="0"/>
          <w:tblHeader w:val="0"/>
        </w:trPr>
        <w:tc>
          <w:tcPr/>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tightness in his neck, “I am always rubbing it.” He notes that the pain becomes gradually worse as the day progresses.</w:t>
            </w:r>
          </w:p>
        </w:tc>
        <w:tc>
          <w:tcPr/>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 and Legs</w:t>
            </w:r>
          </w:p>
        </w:tc>
        <w:tc>
          <w:tcPr/>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with his neck, he notes that the lower back pain gradually increases throughout the day. He will take regular rest breaks throughout his work day to change position, stretch, and make use of Tylenol 3 for symptom control. He reports associated numbness in both legs (left greater than right), which is intermittent and lasting up to one week at a time when these symptoms develop.</w:t>
            </w:r>
          </w:p>
        </w:tc>
        <w:tc>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4-6/10</w:t>
            </w:r>
          </w:p>
        </w:tc>
      </w:tr>
      <w:tr>
        <w:trPr>
          <w:cantSplit w:val="0"/>
          <w:tblHeader w:val="0"/>
        </w:trPr>
        <w:tc>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Deconditioning</w:t>
            </w:r>
          </w:p>
        </w:tc>
        <w:tc>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reports a significant degree of deconditioning which has set-in due to his inactivity over the last 3 years. He notes that he loses his breath with minor physical exertion (for example, when climbing a flight of stairs), he notes feeling unable to participate in physical exercise as a result of unrelenting pain.</w:t>
            </w:r>
          </w:p>
        </w:tc>
        <w:tc>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endorsed the following cognitive symptoms which he reports developing post-accident:</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Lack of focus</w:t>
      </w:r>
    </w:p>
    <w:p w:rsidR="00000000" w:rsidDel="00000000" w:rsidP="00000000" w:rsidRDefault="00000000" w:rsidRPr="00000000" w14:paraId="000000C8">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Lowered concentration</w:t>
      </w:r>
    </w:p>
    <w:p w:rsidR="00000000" w:rsidDel="00000000" w:rsidP="00000000" w:rsidRDefault="00000000" w:rsidRPr="00000000" w14:paraId="000000C9">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Short-term memory issues</w:t>
      </w:r>
    </w:p>
    <w:p w:rsidR="00000000" w:rsidDel="00000000" w:rsidP="00000000" w:rsidRDefault="00000000" w:rsidRPr="00000000" w14:paraId="000000CA">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Difficulty multitasking</w:t>
      </w:r>
    </w:p>
    <w:p w:rsidR="00000000" w:rsidDel="00000000" w:rsidP="00000000" w:rsidRDefault="00000000" w:rsidRPr="00000000" w14:paraId="000000CB">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Struggles with problem-solving</w:t>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endorsed the following emotional symptoms at the time of this assessment:</w:t>
      </w:r>
    </w:p>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Severe anxiety, especially when alone.</w:t>
      </w:r>
    </w:p>
    <w:p w:rsidR="00000000" w:rsidDel="00000000" w:rsidP="00000000" w:rsidRDefault="00000000" w:rsidRPr="00000000" w14:paraId="000000D3">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Incessant worry regarding finances, “I don’t want to think.”</w:t>
      </w:r>
    </w:p>
    <w:p w:rsidR="00000000" w:rsidDel="00000000" w:rsidP="00000000" w:rsidRDefault="00000000" w:rsidRPr="00000000" w14:paraId="000000D4">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Grief over the breakdown of his marriage, reporting that his wife and youngest daughter moved to Lebanon a few years ago.  He reports his wife leaving him as a result of the financial strain the family was under and his request for her to find a job. </w:t>
      </w:r>
    </w:p>
    <w:p w:rsidR="00000000" w:rsidDel="00000000" w:rsidP="00000000" w:rsidRDefault="00000000" w:rsidRPr="00000000" w14:paraId="000000D5">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Irritability, short-temperedness. He reported being very playful and engaged with his family pre-accident, but not anymore.</w:t>
      </w:r>
    </w:p>
    <w:p w:rsidR="00000000" w:rsidDel="00000000" w:rsidP="00000000" w:rsidRDefault="00000000" w:rsidRPr="00000000" w14:paraId="000000D6">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Loss of interest in activities he once enjoyed.</w:t>
      </w:r>
    </w:p>
    <w:p w:rsidR="00000000" w:rsidDel="00000000" w:rsidP="00000000" w:rsidRDefault="00000000" w:rsidRPr="00000000" w14:paraId="000000D7">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 isolation.</w:t>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reported making use of the following strategies to manage his symptoms at this time:</w:t>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reports he can tolerate 30 - 60 minutes then must stand and move around.  </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sitting not exceeding the reported range minutes observed.  He alternated frequently from sitting to standing and walking and while seated, frequent postural changes were noted.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If he lies in one position for too long he gets stiff and his back locks.  He will lie predominantly on his left side with a pillow between his legs.</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demonstrated his ability to complete </w:t>
            </w:r>
            <w:r w:rsidDel="00000000" w:rsidR="00000000" w:rsidRPr="00000000">
              <w:rPr>
                <w:rFonts w:ascii="Calibri" w:cs="Calibri" w:eastAsia="Calibri" w:hAnsi="Calibri"/>
                <w:b w:val="1"/>
                <w:rtl w:val="0"/>
              </w:rPr>
              <w:t xml:space="preserve">chair and sofa</w:t>
            </w:r>
            <w:r w:rsidDel="00000000" w:rsidR="00000000" w:rsidRPr="00000000">
              <w:rPr>
                <w:rFonts w:ascii="Calibri" w:cs="Calibri" w:eastAsia="Calibri" w:hAnsi="Calibri"/>
                <w:rtl w:val="0"/>
              </w:rPr>
              <w:t xml:space="preserve"> transfers independently. He also demonstrated his ability to manage </w:t>
            </w:r>
            <w:r w:rsidDel="00000000" w:rsidR="00000000" w:rsidRPr="00000000">
              <w:rPr>
                <w:rFonts w:ascii="Calibri" w:cs="Calibri" w:eastAsia="Calibri" w:hAnsi="Calibri"/>
                <w:b w:val="1"/>
                <w:rtl w:val="0"/>
              </w:rPr>
              <w:t xml:space="preserve">bed, toilet and bathtub</w:t>
            </w:r>
            <w:r w:rsidDel="00000000" w:rsidR="00000000" w:rsidRPr="00000000">
              <w:rPr>
                <w:rFonts w:ascii="Calibri" w:cs="Calibri" w:eastAsia="Calibri" w:hAnsi="Calibri"/>
                <w:rtl w:val="0"/>
              </w:rPr>
              <w:t xml:space="preserve"> transfers independently.  </w:t>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demonstrated independence with toilet transfers but was found to struggle to initiate the recovery to standing. One bathtub transfer demonstrated by Mr. Khaddage.  He is able to safely cross the threshold of the tub and enter the tub enclosure.  He would benefit from some adaptive aids to foster improvements in his bathing activities.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is currently reporting the ability to stand for periods of 15 minutes then must sit as his back pain increases and he develops numbness in his lower extremities.</w:t>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Mr. Khaddage was observed frequently shifting his weight from side to side and rarely sustained standing in one place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Khaddage did not present any balance issues at the time of this assessment.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reported being limited in his ability to walk distances exceeding 200 meters. He cited an example where he will sit at Walmart when accompanying his daughters on shopping excursions. He will remain at the front of the store on courtesy seating, while his daughters obtain necessary supplies.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demonstrated his ability to manage stairs within his home environment, making use of a handrail for support. He climbed stairs in a slow, planned manner, using a reciprocal stair pattern.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avoids lifting any form of heavy loads and will rely on his grown daughters to assist with carrying groceries and for garbage removal.</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Khaddgae demonstrated his ability to assume a bilateral kneeling posture, with significant difficulty. He required support from adjacent furniture to recover to a standing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demonstrated his ability to assume a partial squat (half-squat)  while relying on the support of an adjacent chair to maintain his balance.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was observed experiencing difficulties bending forward past his knees. He noted significant tightness in his left hip and lower back, precluding him from bending any further.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demonstrated the ability to reach in all planes bilaterally.  He reported some cervical pain associated with overhead reaching and reaching behind his back.</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reported no issues with his fine motor skills. No issues were noted through the course of this assessment.</w:t>
            </w:r>
          </w:p>
        </w:tc>
      </w:tr>
    </w:tbl>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reported in end-range.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reported throughout all demonstrated trunk movements.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hip pain reported during ROM testing.</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Khaddage’s emotional presentation was generally flat, with periods of tearfulness when discussing the breakdown of his marriage and loss of access to his youngest, 12 year-old daughter. He presented with signs of severe anxiety upon this therapist’s arrival, but was found to settle into the assessment process once he became comfortable in engaging with this therapist.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Khaddage’s cognitive presentation was generally unremarkable, with the exception of difficulties recalling the names of past providers and dosages of medications prescribed. He was nonetheless found to be a good historian, providing information readily, consistent with medical records reviewed prior to conducting this assessment. He presented with some degree of tangential thinking, requiring repeated queuing to remain focused on this assessment.</w:t>
      </w:r>
    </w:p>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recounted the following as a typical day at the time of this assessment:</w:t>
      </w:r>
    </w:p>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1">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Up at 5am, takes his medication before getting out of bed.</w:t>
      </w:r>
    </w:p>
    <w:p w:rsidR="00000000" w:rsidDel="00000000" w:rsidP="00000000" w:rsidRDefault="00000000" w:rsidRPr="00000000" w14:paraId="000001B2">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Immediately goes to his van and starts his shift with Para-Transpo (beginning at 6am).</w:t>
      </w:r>
    </w:p>
    <w:p w:rsidR="00000000" w:rsidDel="00000000" w:rsidP="00000000" w:rsidRDefault="00000000" w:rsidRPr="00000000" w14:paraId="000001B3">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Works throughout the day, until 2-4pm, at which time he returns home to rest.</w:t>
      </w:r>
    </w:p>
    <w:p w:rsidR="00000000" w:rsidDel="00000000" w:rsidP="00000000" w:rsidRDefault="00000000" w:rsidRPr="00000000" w14:paraId="000001B4">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Showers, pours himself a glass of water and sits on the sofa where he remains without moving for the majority of the evening.</w:t>
      </w:r>
    </w:p>
    <w:p w:rsidR="00000000" w:rsidDel="00000000" w:rsidP="00000000" w:rsidRDefault="00000000" w:rsidRPr="00000000" w14:paraId="000001B5">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order food most of the time, while his daughters cook simple meals on occasion.</w:t>
      </w:r>
    </w:p>
    <w:p w:rsidR="00000000" w:rsidDel="00000000" w:rsidP="00000000" w:rsidRDefault="00000000" w:rsidRPr="00000000" w14:paraId="000001B6">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Will watch television to distract himself from pain, and goes to bed at 9-9:30pm.</w:t>
      </w:r>
    </w:p>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It should be noted that Mr. Khaddage has maintained his engagement in work activities, despite severe struggles getting through a workday and an inability to function outside of work hours. He has no meaningful activities to occupy his time and remains largely isolated in his home when not at work. He reports a significant decrease in his working hours, where he now works 50-60 hours weekly as opposed to the 70-80 hours pre-accident. He notes that he is required to take regular breaks out of his van throughout the day to walk, stretch, and prepare for the next customer. He acknowledges that his current pace of work is unsustainable, however, he has no choice but to continue working despite the impact on his quality of life and ability to function outside working hours.  He cited severe financial strain and “not being on the street” as the motivating factors forcing his sustained engagement in the workforce.</w:t>
      </w:r>
    </w:p>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BC">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Two-story townhome</w:t>
            </w:r>
          </w:p>
        </w:tc>
      </w:tr>
      <w:tr>
        <w:trPr>
          <w:cantSplit w:val="1"/>
          <w:tblHeader w:val="0"/>
        </w:trPr>
        <w:tc>
          <w:tcPr/>
          <w:p w:rsidR="00000000" w:rsidDel="00000000" w:rsidP="00000000" w:rsidRDefault="00000000" w:rsidRPr="00000000" w14:paraId="000001C1">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C2">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C4">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1.5</w:t>
            </w:r>
          </w:p>
        </w:tc>
        <w:tc>
          <w:tcPr>
            <w:tcBorders>
              <w:right w:color="000000" w:space="0" w:sz="4" w:val="single"/>
            </w:tcBorders>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Full bathroom on second floor and powder room on main floor.</w:t>
            </w:r>
          </w:p>
        </w:tc>
        <w:tc>
          <w:tcPr>
            <w:tcBorders>
              <w:left w:color="000000" w:space="0" w:sz="4" w:val="single"/>
              <w:right w:color="000000" w:space="0" w:sz="4" w:val="single"/>
            </w:tcBorders>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D2">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Stairs leading to the second floor and basement of the home.</w:t>
            </w:r>
          </w:p>
        </w:tc>
        <w:tc>
          <w:tcPr>
            <w:tcBorders>
              <w:left w:color="000000" w:space="0" w:sz="4" w:val="single"/>
              <w:right w:color="000000" w:space="0" w:sz="4" w:val="single"/>
            </w:tcBorders>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Unfinished Basement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1"/>
          <w:tblHeader w:val="0"/>
        </w:trPr>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Small Yard</w:t>
            </w:r>
          </w:p>
        </w:tc>
      </w:tr>
    </w:tbl>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3">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F4">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1F5">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Common Law  ☐ Other  ☐</w:t>
            </w:r>
          </w:p>
        </w:tc>
      </w:tr>
      <w:tr>
        <w:trPr>
          <w:cantSplit w:val="0"/>
          <w:tblHeader w:val="0"/>
        </w:trPr>
        <w:tc>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two oldest adult daughters</w:t>
            </w:r>
          </w:p>
        </w:tc>
      </w:tr>
      <w:tr>
        <w:trPr>
          <w:cantSplit w:val="0"/>
          <w:tblHeader w:val="0"/>
        </w:trPr>
        <w:tc>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year-old daughter living with his ex-wife in Lebanon</w:t>
            </w:r>
          </w:p>
        </w:tc>
      </w:tr>
    </w:tbl>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Khaddage reported being independent in the management of all self-care activities.</w:t>
      </w:r>
    </w:p>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he reported that he remains independent in the management of all core self-care tasks, with modifications. He notes, predominantly, that he is unable to stand to have a shower at the end of his work day, and will typically sit in the bathtub, where he will remain under hot water for a lengthy duration to loosen up and to wash himself. He performs his self-care in a slow, planned manner.</w:t>
      </w:r>
    </w:p>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7">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Khaddage reports that his wife was primarily responsible for the management of the home, with some contribution on his part with heavier housekeeping tasks, such as bathroom cleaning and floor care. Since his wife has moved back to Lebanon with her youngest daughter, Mr. Khaddage is left to manage all housekeeping tasks in his home. He notes that his daughters have moved in with him and provide assistance with the management of the home per the table below:</w:t>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Legend of Ability:</w:t>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 Independent    A – Partial with assistance     D – With devices    U – Unable    N/A – Not Applicable</w:t>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all meal preparations pre-accident.</w:t>
            </w:r>
          </w:p>
        </w:tc>
        <w:tc>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is unable to partake in any form of meal preparation at this time. He relies on takeout meals or at times, meals prepared by his daughters.</w:t>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60 minutes/day</w:t>
            </w:r>
          </w:p>
        </w:tc>
      </w:tr>
      <w:tr>
        <w:trPr>
          <w:cantSplit w:val="0"/>
          <w:tblHeader w:val="0"/>
        </w:trPr>
        <w:tc>
          <w:tcPr/>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all dishwashing duties pre-accident.  </w:t>
            </w:r>
          </w:p>
        </w:tc>
        <w:tc>
          <w:tcPr/>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all dishwashing duties.</w:t>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20 minutes/day</w:t>
            </w:r>
          </w:p>
        </w:tc>
      </w:tr>
      <w:tr>
        <w:trPr>
          <w:cantSplit w:val="0"/>
          <w:trHeight w:val="2035.78125" w:hRule="atLeast"/>
          <w:tblHeader w:val="0"/>
        </w:trPr>
        <w:tc>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Khaddage shared grocery shopping duties with his wife pre-accident.</w:t>
            </w:r>
          </w:p>
        </w:tc>
        <w:tc>
          <w:tcPr/>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Currently, Mr. Khaddage will drive his daughters to the store, however, will not leave his vehicle, or will sit in courtesy seating while his daughters obtain the necessary supplies.</w:t>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60 minutes/week</w:t>
            </w:r>
          </w:p>
        </w:tc>
      </w:tr>
      <w:tr>
        <w:trPr>
          <w:cantSplit w:val="0"/>
          <w:tblHeader w:val="0"/>
        </w:trPr>
        <w:tc>
          <w:tcPr/>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Khaddage was able to maintain his bathroom environment independently.</w:t>
            </w:r>
          </w:p>
        </w:tc>
        <w:tc>
          <w:tcPr/>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currently responsible for the management of both bathrooms.</w:t>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30 minutes/week</w:t>
            </w:r>
          </w:p>
        </w:tc>
      </w:tr>
      <w:tr>
        <w:trPr>
          <w:cantSplit w:val="0"/>
          <w:tblHeader w:val="0"/>
        </w:trPr>
        <w:tc>
          <w:tcPr/>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to make / change the beds pre-accident.</w:t>
            </w:r>
          </w:p>
        </w:tc>
        <w:tc>
          <w:tcPr/>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making and changing beds.</w:t>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20 minutes/week</w:t>
            </w:r>
          </w:p>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Khaddage would use a vacuum cleaner to maintain his living environment. </w:t>
            </w:r>
          </w:p>
        </w:tc>
        <w:tc>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vacuuming the home on a weekly basis.</w:t>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60 minutes/week</w:t>
            </w:r>
          </w:p>
        </w:tc>
      </w:tr>
      <w:tr>
        <w:trPr>
          <w:cantSplit w:val="0"/>
          <w:trHeight w:val="848.90625" w:hRule="atLeast"/>
          <w:tblHeader w:val="0"/>
        </w:trPr>
        <w:tc>
          <w:tcPr/>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all the sweeping pre-accident.</w:t>
            </w:r>
          </w:p>
        </w:tc>
        <w:tc>
          <w:tcPr/>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sweeping duties. </w:t>
            </w:r>
          </w:p>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5 minutes/day</w:t>
            </w:r>
          </w:p>
        </w:tc>
      </w:tr>
      <w:tr>
        <w:trPr>
          <w:cantSplit w:val="0"/>
          <w:tblHeader w:val="0"/>
        </w:trPr>
        <w:tc>
          <w:tcPr/>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Khaddage was able to mop his floors on an as-needed basis pre-accident.  </w:t>
            </w:r>
          </w:p>
        </w:tc>
        <w:tc>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mopping floors on a weekly basis</w:t>
            </w:r>
          </w:p>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30 minutes/week</w:t>
            </w:r>
          </w:p>
        </w:tc>
      </w:tr>
      <w:tr>
        <w:trPr>
          <w:cantSplit w:val="0"/>
          <w:tblHeader w:val="0"/>
        </w:trPr>
        <w:tc>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the dusting pre-accident.</w:t>
            </w:r>
          </w:p>
        </w:tc>
        <w:tc>
          <w:tcPr/>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dusting of surfaces throughout the home.</w:t>
            </w:r>
          </w:p>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30 minutes/week</w:t>
            </w:r>
          </w:p>
        </w:tc>
      </w:tr>
      <w:tr>
        <w:trPr>
          <w:cantSplit w:val="0"/>
          <w:tblHeader w:val="0"/>
        </w:trPr>
        <w:tc>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all the tidying pre-accident.</w:t>
            </w:r>
          </w:p>
        </w:tc>
        <w:tc>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all tidying needs within the home.</w:t>
            </w:r>
          </w:p>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10 minutes/day</w:t>
            </w:r>
          </w:p>
        </w:tc>
      </w:tr>
      <w:tr>
        <w:trPr>
          <w:cantSplit w:val="0"/>
          <w:tblHeader w:val="0"/>
        </w:trPr>
        <w:tc>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Khaddage’s wife managed all laundry duties pre-accident.</w:t>
            </w:r>
          </w:p>
        </w:tc>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the management of all household laundry.</w:t>
            </w:r>
          </w:p>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60 minutes/week</w:t>
            </w:r>
          </w:p>
        </w:tc>
      </w:tr>
      <w:tr>
        <w:trPr>
          <w:cantSplit w:val="0"/>
          <w:tblHeader w:val="0"/>
        </w:trPr>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Khaddage managed all garbage and recycling removal pre-accident.</w:t>
            </w:r>
          </w:p>
        </w:tc>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Khaddage’s daughters are responsible for garbage and recycling removal</w:t>
            </w:r>
          </w:p>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Time allotted 20 minutes/week.</w:t>
            </w:r>
          </w:p>
        </w:tc>
      </w:tr>
      <w:tr>
        <w:trPr>
          <w:cantSplit w:val="0"/>
          <w:tblHeader w:val="0"/>
        </w:trPr>
        <w:tc>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TOTAL TIME ALLOTTED</w:t>
            </w:r>
          </w:p>
        </w:tc>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975 minutes/week</w:t>
            </w:r>
          </w:p>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16.25 hours/week</w:t>
            </w:r>
          </w:p>
        </w:tc>
      </w:tr>
    </w:tbl>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was not primarily responsible for lawn care pre-accident.</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w:t>
            </w:r>
          </w:p>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managed by the condo corporation.</w:t>
            </w:r>
          </w:p>
        </w:tc>
      </w:tr>
      <w:tr>
        <w:trPr>
          <w:cantSplit w:val="0"/>
          <w:tblHeader w:val="0"/>
        </w:trPr>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did not garden pre-accident.</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was not required to complete snow removal pre-accident.</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managed by the condo corporation.</w:t>
            </w:r>
          </w:p>
        </w:tc>
      </w:tr>
    </w:tbl>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Khaddage was primarily responsible for the management of household finances, which he looked after without difficulty. At the time of this assessment, Mr. Khaddage noted being under immense financial strain, requiring that he continue working despite the impact his work schedule has on his quality of life and ability to function on a daily basis. He remains able to manage bill payments, however, notes a significant degree of anxiety with anything to do with his financial affairs.</w:t>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is not the primary caregiver for any of his children at this time.  His two oldest (adult) daughters are living with him while his youngest 12 year-old daughter resides in Lebanon with his estranged wife.</w:t>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full-time </w:t>
            </w:r>
          </w:p>
        </w:tc>
      </w:tr>
      <w:tr>
        <w:trPr>
          <w:cantSplit w:val="0"/>
          <w:tblHeader w:val="0"/>
        </w:trPr>
        <w:tc>
          <w:tcPr/>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Capital Taxi</w:t>
            </w:r>
          </w:p>
        </w:tc>
      </w:tr>
      <w:tr>
        <w:trPr>
          <w:cantSplit w:val="0"/>
          <w:tblHeader w:val="0"/>
        </w:trPr>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Taxi Driver</w:t>
            </w:r>
          </w:p>
        </w:tc>
      </w:tr>
      <w:tr>
        <w:trPr>
          <w:cantSplit w:val="0"/>
          <w:tblHeader w:val="0"/>
        </w:trPr>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70-80 hours per week</w:t>
            </w:r>
          </w:p>
        </w:tc>
      </w:tr>
      <w:tr>
        <w:trPr>
          <w:cantSplit w:val="0"/>
          <w:tblHeader w:val="0"/>
        </w:trPr>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reported working Monday to Friday from 6 am to 6 pm and on weekends from 7 am to 4 pm.</w:t>
            </w:r>
          </w:p>
        </w:tc>
      </w:tr>
    </w:tbl>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full-time (50 - 60 hours/week)</w:t>
            </w:r>
          </w:p>
        </w:tc>
      </w:tr>
      <w:tr>
        <w:trPr>
          <w:cantSplit w:val="0"/>
          <w:tblHeader w:val="0"/>
        </w:trPr>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Khaddage is now limited to working 8 - 10 hours per day during the week and will work 3 - 4 hours on each day of the weekend.  He is unable to function outside of work hours and will spend his evenings reclined on his sofa with his feet propped on the coffee table.  </w:t>
            </w:r>
          </w:p>
        </w:tc>
      </w:tr>
    </w:tbl>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Mr. Khaddage reported enjoying time with friends, playing cards, as well as significant time spent engaged with his family and specifically, </w:t>
      </w:r>
      <w:r w:rsidDel="00000000" w:rsidR="00000000" w:rsidRPr="00000000">
        <w:rPr>
          <w:rFonts w:ascii="Calibri" w:cs="Calibri" w:eastAsia="Calibri" w:hAnsi="Calibri"/>
          <w:rtl w:val="0"/>
        </w:rPr>
        <w:t xml:space="preserve">played</w:t>
      </w:r>
      <w:r w:rsidDel="00000000" w:rsidR="00000000" w:rsidRPr="00000000">
        <w:rPr>
          <w:rFonts w:ascii="Calibri" w:cs="Calibri" w:eastAsia="Calibri" w:hAnsi="Calibri"/>
          <w:rtl w:val="0"/>
        </w:rPr>
        <w:t xml:space="preserve"> with his youngest daughter. He also noted enjoying attending traditional Lebanese parties. </w:t>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Khaddage has completely interrupted his engagement in all forms of leisure activities. He now spends the bulk of his time off, watching television and resting, while his daughters tend to the home and his needs.</w:t>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7E">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81">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86">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Law Firm, ℅ Mr. Frank McNally</w:t>
      </w:r>
      <w:r w:rsidDel="00000000" w:rsidR="00000000" w:rsidRPr="00000000">
        <w:rPr>
          <w:rtl w:val="0"/>
        </w:rPr>
      </w:r>
    </w:p>
    <w:p w:rsidR="00000000" w:rsidDel="00000000" w:rsidP="00000000" w:rsidRDefault="00000000" w:rsidRPr="00000000" w14:paraId="00000287">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288">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289">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rFonts w:ascii="Calibri" w:cs="Calibri" w:eastAsia="Calibri" w:hAnsi="Calibri"/>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D">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Samir Khaddage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KEBgw9OrMvs+YFPK6Apn7Lw8lg==">CgMxLjA4AHIhMVdDa1NkOU5zOC1JbllIakEtTzlLeWNZRUI2OHN4bmlk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