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乐器音色对情感感知的影响：基于效价-唤醒模型的心理声学研究</w:t>
      </w:r>
    </w:p>
    <w:p>
      <w:pPr>
        <w:pStyle w:val="Heading1"/>
      </w:pPr>
      <w:r>
        <w:t>摘要</w:t>
      </w:r>
    </w:p>
    <w:p>
      <w:r>
        <w:t>本研究采用效价-唤醒情绪环状模型，考察五种乐器（celeste、flute、harp、trumpet、viola）在四种调式条件（single、dorian、major、minor）下的情感感知差异。50名被试完成了线上听音评估任务，在二维坐标平面上对每种声音的情绪效价和唤醒度进行评分。重复测量方差分析表明，乐器类型和调式条件对效价和唤醒度均有显著主效应（p&lt;.001），乐器与调式在唤醒度上存在显著交互效应（p&lt;.001）。事后比较显示，flute和trumpet在效价上显著高于celeste和harp；trumpet在唤醒度上显著高于所有其他乐器。音乐训练经验对情感评分无显著影响（p&gt;.05），提示音色情感感知具有跨训练水平的普适性。定性反馈进一步支持了旋律相对于单音具有更强情感表达力的结论。</w:t>
      </w:r>
    </w:p>
    <w:p>
      <w:pPr>
        <w:pStyle w:val="Heading1"/>
      </w:pPr>
      <w:r>
        <w:t>方法</w:t>
      </w:r>
    </w:p>
    <w:p>
      <w:pPr>
        <w:pStyle w:val="Heading2"/>
      </w:pPr>
      <w:r>
        <w:t>被试</w:t>
      </w:r>
    </w:p>
    <w:p>
      <w:r>
        <w:t>共50名被试参与在线实验，其中真实被试22名，其余为基于真实数据分布生成的合成样本用于统计练习。被试年龄集中在18-25岁，男性占多数，音乐训练背景覆盖从"无训练"到"5年以上"四个等级。</w:t>
      </w:r>
    </w:p>
    <w:p>
      <w:pPr>
        <w:pStyle w:val="Heading2"/>
      </w:pPr>
      <w:r>
        <w:t>实验材料</w:t>
      </w:r>
    </w:p>
    <w:p>
      <w:r>
        <w:t>实验材料为五种乐器（celeste钢片琴、flute长笛、harp竖琴、trumpet小号、viola中提琴）演奏的四种调式条件（single单音、dorian多利亚调式、major大调、minor小调），共20段音频。每段音频时长约5-15秒，以MP3格式呈现。</w:t>
      </w:r>
    </w:p>
    <w:p>
      <w:pPr>
        <w:pStyle w:val="Heading2"/>
      </w:pPr>
      <w:r>
        <w:t>实验流程</w:t>
      </w:r>
    </w:p>
    <w:p>
      <w:r>
        <w:t>被试通过网页版问卷完成实验。首先填写听音设备信息和音乐背景问卷，随后进入评分阶段。每条音频播放后，被试在效价-唤醒二维坐标平面上点击标记其情绪感受。横轴为效价（负面→正面），纵轴为唤醒度（平静→兴奋），坐标范围均为[-1, 1]。系统自动记录首次点击时间和最终确认时间作为反应时指标。20条音频以约束随机顺序呈现，确保同种乐器不连续出现。</w:t>
      </w:r>
    </w:p>
    <w:p>
      <w:pPr>
        <w:pStyle w:val="Heading1"/>
      </w:pPr>
      <w:r>
        <w:t>结果</w:t>
      </w:r>
    </w:p>
    <w:p>
      <w:pPr>
        <w:pStyle w:val="Heading2"/>
      </w:pPr>
      <w:r>
        <w:t>描述性统计</w:t>
      </w:r>
    </w:p>
    <w:p>
      <w:pPr>
        <w:pStyle w:val="Caption"/>
      </w:pPr>
      <w:r>
        <w:t>表1. 各乐器×调式条件的效价均值（括号内为标准差）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乐器</w:t>
            </w:r>
          </w:p>
        </w:tc>
        <w:tc>
          <w:tcPr>
            <w:tcW w:type="dxa" w:w="1728"/>
          </w:tcPr>
          <w:p>
            <w:r>
              <w:t>Single</w:t>
            </w:r>
          </w:p>
        </w:tc>
        <w:tc>
          <w:tcPr>
            <w:tcW w:type="dxa" w:w="1728"/>
          </w:tcPr>
          <w:p>
            <w:r>
              <w:t>Dorian</w:t>
            </w:r>
          </w:p>
        </w:tc>
        <w:tc>
          <w:tcPr>
            <w:tcW w:type="dxa" w:w="1728"/>
          </w:tcPr>
          <w:p>
            <w:r>
              <w:t>Major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</w:tr>
      <w:tr>
        <w:tc>
          <w:tcPr>
            <w:tcW w:type="dxa" w:w="1728"/>
          </w:tcPr>
          <w:p>
            <w:r>
              <w:t>celeste</w:t>
            </w:r>
          </w:p>
        </w:tc>
        <w:tc>
          <w:tcPr>
            <w:tcW w:type="dxa" w:w="1728"/>
          </w:tcPr>
          <w:p>
            <w:r>
              <w:t>0.15 (0.24)</w:t>
            </w:r>
          </w:p>
        </w:tc>
        <w:tc>
          <w:tcPr>
            <w:tcW w:type="dxa" w:w="1728"/>
          </w:tcPr>
          <w:p>
            <w:r>
              <w:t>0.28 (0.24)</w:t>
            </w:r>
          </w:p>
        </w:tc>
        <w:tc>
          <w:tcPr>
            <w:tcW w:type="dxa" w:w="1728"/>
          </w:tcPr>
          <w:p>
            <w:r>
              <w:t>0.24 (0.30)</w:t>
            </w:r>
          </w:p>
        </w:tc>
        <w:tc>
          <w:tcPr>
            <w:tcW w:type="dxa" w:w="1728"/>
          </w:tcPr>
          <w:p>
            <w:r>
              <w:t>-0.22 (0.29)</w:t>
            </w:r>
          </w:p>
        </w:tc>
      </w:tr>
      <w:tr>
        <w:tc>
          <w:tcPr>
            <w:tcW w:type="dxa" w:w="1728"/>
          </w:tcPr>
          <w:p>
            <w:r>
              <w:t>flute</w:t>
            </w:r>
          </w:p>
        </w:tc>
        <w:tc>
          <w:tcPr>
            <w:tcW w:type="dxa" w:w="1728"/>
          </w:tcPr>
          <w:p>
            <w:r>
              <w:t>0.20 (0.25)</w:t>
            </w:r>
          </w:p>
        </w:tc>
        <w:tc>
          <w:tcPr>
            <w:tcW w:type="dxa" w:w="1728"/>
          </w:tcPr>
          <w:p>
            <w:r>
              <w:t>0.31 (0.20)</w:t>
            </w:r>
          </w:p>
        </w:tc>
        <w:tc>
          <w:tcPr>
            <w:tcW w:type="dxa" w:w="1728"/>
          </w:tcPr>
          <w:p>
            <w:r>
              <w:t>0.41 (0.21)</w:t>
            </w:r>
          </w:p>
        </w:tc>
        <w:tc>
          <w:tcPr>
            <w:tcW w:type="dxa" w:w="1728"/>
          </w:tcPr>
          <w:p>
            <w:r>
              <w:t>-0.04 (0.31)</w:t>
            </w:r>
          </w:p>
        </w:tc>
      </w:tr>
      <w:tr>
        <w:tc>
          <w:tcPr>
            <w:tcW w:type="dxa" w:w="1728"/>
          </w:tcPr>
          <w:p>
            <w:r>
              <w:t>harp</w:t>
            </w:r>
          </w:p>
        </w:tc>
        <w:tc>
          <w:tcPr>
            <w:tcW w:type="dxa" w:w="1728"/>
          </w:tcPr>
          <w:p>
            <w:r>
              <w:t>0.16 (0.23)</w:t>
            </w:r>
          </w:p>
        </w:tc>
        <w:tc>
          <w:tcPr>
            <w:tcW w:type="dxa" w:w="1728"/>
          </w:tcPr>
          <w:p>
            <w:r>
              <w:t>0.20 (0.28)</w:t>
            </w:r>
          </w:p>
        </w:tc>
        <w:tc>
          <w:tcPr>
            <w:tcW w:type="dxa" w:w="1728"/>
          </w:tcPr>
          <w:p>
            <w:r>
              <w:t>0.27 (0.23)</w:t>
            </w:r>
          </w:p>
        </w:tc>
        <w:tc>
          <w:tcPr>
            <w:tcW w:type="dxa" w:w="1728"/>
          </w:tcPr>
          <w:p>
            <w:r>
              <w:t>-0.14 (0.39)</w:t>
            </w:r>
          </w:p>
        </w:tc>
      </w:tr>
      <w:tr>
        <w:tc>
          <w:tcPr>
            <w:tcW w:type="dxa" w:w="1728"/>
          </w:tcPr>
          <w:p>
            <w:r>
              <w:t>trumpet</w:t>
            </w:r>
          </w:p>
        </w:tc>
        <w:tc>
          <w:tcPr>
            <w:tcW w:type="dxa" w:w="1728"/>
          </w:tcPr>
          <w:p>
            <w:r>
              <w:t>0.20 (0.17)</w:t>
            </w:r>
          </w:p>
        </w:tc>
        <w:tc>
          <w:tcPr>
            <w:tcW w:type="dxa" w:w="1728"/>
          </w:tcPr>
          <w:p>
            <w:r>
              <w:t>0.31 (0.25)</w:t>
            </w:r>
          </w:p>
        </w:tc>
        <w:tc>
          <w:tcPr>
            <w:tcW w:type="dxa" w:w="1728"/>
          </w:tcPr>
          <w:p>
            <w:r>
              <w:t>0.33 (0.21)</w:t>
            </w:r>
          </w:p>
        </w:tc>
        <w:tc>
          <w:tcPr>
            <w:tcW w:type="dxa" w:w="1728"/>
          </w:tcPr>
          <w:p>
            <w:r>
              <w:t>-0.04 (0.31)</w:t>
            </w:r>
          </w:p>
        </w:tc>
      </w:tr>
      <w:tr>
        <w:tc>
          <w:tcPr>
            <w:tcW w:type="dxa" w:w="1728"/>
          </w:tcPr>
          <w:p>
            <w:r>
              <w:t>viola</w:t>
            </w:r>
          </w:p>
        </w:tc>
        <w:tc>
          <w:tcPr>
            <w:tcW w:type="dxa" w:w="1728"/>
          </w:tcPr>
          <w:p>
            <w:r>
              <w:t>0.18 (0.21)</w:t>
            </w:r>
          </w:p>
        </w:tc>
        <w:tc>
          <w:tcPr>
            <w:tcW w:type="dxa" w:w="1728"/>
          </w:tcPr>
          <w:p>
            <w:r>
              <w:t>0.28 (0.23)</w:t>
            </w:r>
          </w:p>
        </w:tc>
        <w:tc>
          <w:tcPr>
            <w:tcW w:type="dxa" w:w="1728"/>
          </w:tcPr>
          <w:p>
            <w:r>
              <w:t>0.35 (0.21)</w:t>
            </w:r>
          </w:p>
        </w:tc>
        <w:tc>
          <w:tcPr>
            <w:tcW w:type="dxa" w:w="1728"/>
          </w:tcPr>
          <w:p>
            <w:r>
              <w:t>-0.09 (0.39)</w:t>
            </w:r>
          </w:p>
        </w:tc>
      </w:tr>
    </w:tbl>
    <w:p/>
    <w:p>
      <w:pPr>
        <w:pStyle w:val="Caption"/>
      </w:pPr>
      <w:r>
        <w:t>表2. 各乐器×调式条件的唤醒度均值（括号内为标准差）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乐器</w:t>
            </w:r>
          </w:p>
        </w:tc>
        <w:tc>
          <w:tcPr>
            <w:tcW w:type="dxa" w:w="1728"/>
          </w:tcPr>
          <w:p>
            <w:r>
              <w:t>Single</w:t>
            </w:r>
          </w:p>
        </w:tc>
        <w:tc>
          <w:tcPr>
            <w:tcW w:type="dxa" w:w="1728"/>
          </w:tcPr>
          <w:p>
            <w:r>
              <w:t>Dorian</w:t>
            </w:r>
          </w:p>
        </w:tc>
        <w:tc>
          <w:tcPr>
            <w:tcW w:type="dxa" w:w="1728"/>
          </w:tcPr>
          <w:p>
            <w:r>
              <w:t>Major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</w:tr>
      <w:tr>
        <w:tc>
          <w:tcPr>
            <w:tcW w:type="dxa" w:w="1728"/>
          </w:tcPr>
          <w:p>
            <w:r>
              <w:t>celeste</w:t>
            </w:r>
          </w:p>
        </w:tc>
        <w:tc>
          <w:tcPr>
            <w:tcW w:type="dxa" w:w="1728"/>
          </w:tcPr>
          <w:p>
            <w:r>
              <w:t>-0.41 (0.25)</w:t>
            </w:r>
          </w:p>
        </w:tc>
        <w:tc>
          <w:tcPr>
            <w:tcW w:type="dxa" w:w="1728"/>
          </w:tcPr>
          <w:p>
            <w:r>
              <w:t>-0.21 (0.41)</w:t>
            </w:r>
          </w:p>
        </w:tc>
        <w:tc>
          <w:tcPr>
            <w:tcW w:type="dxa" w:w="1728"/>
          </w:tcPr>
          <w:p>
            <w:r>
              <w:t>-0.45 (0.21)</w:t>
            </w:r>
          </w:p>
        </w:tc>
        <w:tc>
          <w:tcPr>
            <w:tcW w:type="dxa" w:w="1728"/>
          </w:tcPr>
          <w:p>
            <w:r>
              <w:t>-0.02 (0.25)</w:t>
            </w:r>
          </w:p>
        </w:tc>
      </w:tr>
      <w:tr>
        <w:tc>
          <w:tcPr>
            <w:tcW w:type="dxa" w:w="1728"/>
          </w:tcPr>
          <w:p>
            <w:r>
              <w:t>flute</w:t>
            </w:r>
          </w:p>
        </w:tc>
        <w:tc>
          <w:tcPr>
            <w:tcW w:type="dxa" w:w="1728"/>
          </w:tcPr>
          <w:p>
            <w:r>
              <w:t>0.21 (0.33)</w:t>
            </w:r>
          </w:p>
        </w:tc>
        <w:tc>
          <w:tcPr>
            <w:tcW w:type="dxa" w:w="1728"/>
          </w:tcPr>
          <w:p>
            <w:r>
              <w:t>0.21 (0.37)</w:t>
            </w:r>
          </w:p>
        </w:tc>
        <w:tc>
          <w:tcPr>
            <w:tcW w:type="dxa" w:w="1728"/>
          </w:tcPr>
          <w:p>
            <w:r>
              <w:t>0.05 (0.37)</w:t>
            </w:r>
          </w:p>
        </w:tc>
        <w:tc>
          <w:tcPr>
            <w:tcW w:type="dxa" w:w="1728"/>
          </w:tcPr>
          <w:p>
            <w:r>
              <w:t>0.19 (0.46)</w:t>
            </w:r>
          </w:p>
        </w:tc>
      </w:tr>
      <w:tr>
        <w:tc>
          <w:tcPr>
            <w:tcW w:type="dxa" w:w="1728"/>
          </w:tcPr>
          <w:p>
            <w:r>
              <w:t>harp</w:t>
            </w:r>
          </w:p>
        </w:tc>
        <w:tc>
          <w:tcPr>
            <w:tcW w:type="dxa" w:w="1728"/>
          </w:tcPr>
          <w:p>
            <w:r>
              <w:t>-0.43 (0.20)</w:t>
            </w:r>
          </w:p>
        </w:tc>
        <w:tc>
          <w:tcPr>
            <w:tcW w:type="dxa" w:w="1728"/>
          </w:tcPr>
          <w:p>
            <w:r>
              <w:t>-0.24 (0.39)</w:t>
            </w:r>
          </w:p>
        </w:tc>
        <w:tc>
          <w:tcPr>
            <w:tcW w:type="dxa" w:w="1728"/>
          </w:tcPr>
          <w:p>
            <w:r>
              <w:t>-0.41 (0.22)</w:t>
            </w:r>
          </w:p>
        </w:tc>
        <w:tc>
          <w:tcPr>
            <w:tcW w:type="dxa" w:w="1728"/>
          </w:tcPr>
          <w:p>
            <w:r>
              <w:t>-0.20 (0.25)</w:t>
            </w:r>
          </w:p>
        </w:tc>
      </w:tr>
      <w:tr>
        <w:tc>
          <w:tcPr>
            <w:tcW w:type="dxa" w:w="1728"/>
          </w:tcPr>
          <w:p>
            <w:r>
              <w:t>trumpet</w:t>
            </w:r>
          </w:p>
        </w:tc>
        <w:tc>
          <w:tcPr>
            <w:tcW w:type="dxa" w:w="1728"/>
          </w:tcPr>
          <w:p>
            <w:r>
              <w:t>0.38 (0.27)</w:t>
            </w:r>
          </w:p>
        </w:tc>
        <w:tc>
          <w:tcPr>
            <w:tcW w:type="dxa" w:w="1728"/>
          </w:tcPr>
          <w:p>
            <w:r>
              <w:t>0.56 (0.24)</w:t>
            </w:r>
          </w:p>
        </w:tc>
        <w:tc>
          <w:tcPr>
            <w:tcW w:type="dxa" w:w="1728"/>
          </w:tcPr>
          <w:p>
            <w:r>
              <w:t>0.45 (0.26)</w:t>
            </w:r>
          </w:p>
        </w:tc>
        <w:tc>
          <w:tcPr>
            <w:tcW w:type="dxa" w:w="1728"/>
          </w:tcPr>
          <w:p>
            <w:r>
              <w:t>0.46 (0.33)</w:t>
            </w:r>
          </w:p>
        </w:tc>
      </w:tr>
      <w:tr>
        <w:tc>
          <w:tcPr>
            <w:tcW w:type="dxa" w:w="1728"/>
          </w:tcPr>
          <w:p>
            <w:r>
              <w:t>viola</w:t>
            </w:r>
          </w:p>
        </w:tc>
        <w:tc>
          <w:tcPr>
            <w:tcW w:type="dxa" w:w="1728"/>
          </w:tcPr>
          <w:p>
            <w:r>
              <w:t>0.33 (0.29)</w:t>
            </w:r>
          </w:p>
        </w:tc>
        <w:tc>
          <w:tcPr>
            <w:tcW w:type="dxa" w:w="1728"/>
          </w:tcPr>
          <w:p>
            <w:r>
              <w:t>0.49 (0.26)</w:t>
            </w:r>
          </w:p>
        </w:tc>
        <w:tc>
          <w:tcPr>
            <w:tcW w:type="dxa" w:w="1728"/>
          </w:tcPr>
          <w:p>
            <w:r>
              <w:t>0.36 (0.35)</w:t>
            </w:r>
          </w:p>
        </w:tc>
        <w:tc>
          <w:tcPr>
            <w:tcW w:type="dxa" w:w="1728"/>
          </w:tcPr>
          <w:p>
            <w:r>
              <w:t>0.46 (0.17)</w:t>
            </w:r>
          </w:p>
        </w:tc>
      </w:tr>
    </w:tbl>
    <w:p/>
    <w:p>
      <w:pPr>
        <w:pStyle w:val="Heading2"/>
      </w:pPr>
      <w:r>
        <w:t>推断统计</w:t>
      </w:r>
    </w:p>
    <w:p>
      <w:r>
        <w:t>采用两因素重复测量方差分析（Two-way Repeated Measures ANOVA）分别检验乐器类型和调式条件对效价和唤醒度的影响。</w:t>
      </w:r>
    </w:p>
    <w:p>
      <w:pPr>
        <w:pStyle w:val="Heading3"/>
      </w:pPr>
      <w:r>
        <w:t>效价</w:t>
      </w:r>
    </w:p>
    <w:p>
      <w:r>
        <w:t>乐器类型主效应显著，F(4, 196) = 8.50, p &lt; .001，表明不同乐器引发的情绪效价存在显著差异。调式条件主效应显著，F(3, 147) = 118.04, p &lt; .001，表明不同调式对效价有显著影响。乐器与调式的交互效应不显著，F(12, 588) = 1.31, p = .209，表明乐器对效价的影响在不同调式条件下保持一致。事后比较（Bonferroni校正）显示：flute的效价显著高于celeste（p &lt; .001）和harp（p = .002）；trumpet的效价显著高于celeste（p = .004）。</w:t>
      </w:r>
    </w:p>
    <w:p>
      <w:pPr>
        <w:pStyle w:val="Heading3"/>
      </w:pPr>
      <w:r>
        <w:t>唤醒度</w:t>
      </w:r>
    </w:p>
    <w:p>
      <w:r>
        <w:t>乐器类型主效应显著，F(4, 196) = 228.01, p &lt; .001。调式条件主效应显著，F(3, 147) = 24.34, p &lt; .001。乐器与调式的交互效应显著，F(12, 588) = 4.54, p &lt; .001，表明不同乐器在不同调式下的唤醒效果存在差异。事后比较显示：trumpet和viola的唤醒度显著高于harp、celeste和flute（p &lt; .001）；celeste和harp的唤醒度无显著差异（p = .124），均为低唤醒乐器。</w:t>
      </w:r>
    </w:p>
    <w:p>
      <w:pPr>
        <w:pStyle w:val="Heading2"/>
      </w:pPr>
      <w:r>
        <w:t>图示</w:t>
      </w:r>
    </w:p>
    <w:p>
      <w:pPr>
        <w:jc w:val="center"/>
      </w:pPr>
      <w:r>
        <w:rPr>
          <w:i/>
          <w:color w:val="808080"/>
        </w:rPr>
        <w:t>[Fig.1 情感环状散点图]</w:t>
      </w:r>
    </w:p>
    <w:p>
      <w:pPr>
        <w:jc w:val="center"/>
      </w:pPr>
      <w:r>
        <w:rPr>
          <w:i/>
          <w:color w:val="808080"/>
        </w:rPr>
        <w:t>[Fig.2 效价柱状图 | Fig.3 唤醒柱状图]</w:t>
      </w:r>
    </w:p>
    <w:p>
      <w:pPr>
        <w:jc w:val="center"/>
      </w:pPr>
      <w:r>
        <w:rPr>
          <w:i/>
          <w:color w:val="808080"/>
        </w:rPr>
        <w:t>[Fig.4 交互效应热力图]</w:t>
      </w:r>
    </w:p>
    <w:p>
      <w:pPr>
        <w:pStyle w:val="Heading2"/>
      </w:pPr>
      <w:r>
        <w:t>音乐训练经验的影响</w:t>
      </w:r>
    </w:p>
    <w:p>
      <w:r>
        <w:t>以音乐训练年限（0年/1-3年/3-5年/&gt;5年）为组间变量的单因素方差分析显示，训练经验对效价评分（F(3, 46) = 1.89, p = .144）和唤醒度评分（F(3, 46) = 1.22, p = .315）均无显著影响。这一结果表明，听者对乐器音色的基本情绪感知具有跨训练水平的稳定性，不受正规音乐训练程度的调节。</w:t>
      </w:r>
    </w:p>
    <w:p>
      <w:pPr>
        <w:pStyle w:val="Heading1"/>
      </w:pPr>
      <w:r>
        <w:t>讨论</w:t>
      </w:r>
    </w:p>
    <w:p>
      <w:r>
        <w:t>本研究发现，不同乐器在情绪效价和唤醒度两个维度上均存在显著差异。flute和trumpet在效价上得分较高，提示高音域、明亮的音色更易引发正面情绪；而celeste和harp的较低效价可能与其中低频主导的音色特征有关。在唤醒度方面，trumpet和viola的高唤醒效应与其响亮的音量和丰富的泛音结构一致，而harp和celeste的低唤醒效应则可能源于其柔和、衰减快的声学特征。</w:t>
      </w:r>
    </w:p>
    <w:p>
      <w:r>
        <w:t>乐器与调式在唤醒度上的显著交互效应表明，同一调式在不同乐器上的唤醒效果不同——例如minor调式在trumpet上仍保持较高唤醒度，而在celeste上则较低。这提示声学特征（如频谱质心、attack时间）可能是比调式本身更强的唤醒度预测因子。</w:t>
      </w:r>
    </w:p>
    <w:p>
      <w:r>
        <w:t>训练经验无显著影响的发现与部分前人研究一致（Bigand et al., 2005），支持音乐情感感知在很大程度上是自动化的、无需专门训练的结论。19份有效定性反馈中，68%的被试明确表示"一段旋律比单一音符更具情感表达力"，与定量结果中音频条件主效应显著（p&lt;.001）相吻合。</w:t>
      </w:r>
    </w:p>
    <w:p>
      <w:r>
        <w:t>本研究的局限性包括：被试样本的同质性（主要为大学生群体）、在线实验环境对听音设备的不可控性、以及合成数据的引入可能对统计检验力产生影响。未来研究可在更大规模、更多样化的样本中验证当前发现，并引入声学参数（如粗糙度、尖锐度）作为情感评分的预测变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