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462"/>
        <w:tblW w:w="0" w:type="auto"/>
        <w:tblLook w:val="04A0" w:firstRow="1" w:lastRow="0" w:firstColumn="1" w:lastColumn="0" w:noHBand="0" w:noVBand="1"/>
      </w:tblPr>
      <w:tblGrid>
        <w:gridCol w:w="1063"/>
        <w:gridCol w:w="767"/>
        <w:gridCol w:w="1012"/>
      </w:tblGrid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813B00">
              <w:rPr>
                <w:rFonts w:ascii="Tahoma" w:eastAsia="Times New Roman" w:hAnsi="Tahoma" w:cs="Tahoma"/>
                <w:b/>
                <w:bCs/>
                <w:color w:val="000000"/>
              </w:rPr>
              <w:t>Gamma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813B00">
              <w:rPr>
                <w:rFonts w:ascii="Tahoma" w:eastAsia="Times New Roman" w:hAnsi="Tahoma" w:cs="Tahoma"/>
                <w:b/>
                <w:bCs/>
                <w:color w:val="000000"/>
              </w:rPr>
              <w:t>F (+)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813B00">
              <w:rPr>
                <w:rFonts w:ascii="Tahoma" w:eastAsia="Times New Roman" w:hAnsi="Tahoma" w:cs="Tahoma"/>
                <w:b/>
                <w:bCs/>
                <w:color w:val="000000"/>
              </w:rPr>
              <w:t>T (+)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0.1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0.037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0.3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0.043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0.5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0.043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0.7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0.043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0.043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0.043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0.107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0.99333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0.540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0.99667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4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0.727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0.99667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0.817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0.99667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6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0.873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0.99667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7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0.910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0.99667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8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0.930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0.99667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9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0.937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0.957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0.990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30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0.993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40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0.997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</w:tr>
      <w:tr w:rsidR="00302374" w:rsidRPr="00813B00" w:rsidTr="00813B00">
        <w:trPr>
          <w:trHeight w:val="241"/>
        </w:trPr>
        <w:tc>
          <w:tcPr>
            <w:tcW w:w="1024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50</w:t>
            </w:r>
          </w:p>
        </w:tc>
        <w:tc>
          <w:tcPr>
            <w:tcW w:w="767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1.000</w:t>
            </w:r>
          </w:p>
        </w:tc>
        <w:tc>
          <w:tcPr>
            <w:tcW w:w="1012" w:type="dxa"/>
            <w:noWrap/>
            <w:hideMark/>
          </w:tcPr>
          <w:p w:rsidR="00302374" w:rsidRPr="00813B00" w:rsidRDefault="00302374" w:rsidP="00813B00">
            <w:pPr>
              <w:rPr>
                <w:rFonts w:ascii="Tahoma" w:eastAsia="Times New Roman" w:hAnsi="Tahoma" w:cs="Tahoma"/>
                <w:color w:val="000000"/>
              </w:rPr>
            </w:pPr>
            <w:r w:rsidRPr="00813B00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</w:tr>
    </w:tbl>
    <w:p w:rsidR="00714DEC" w:rsidRPr="00813B00" w:rsidRDefault="00813B00" w:rsidP="00813B00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 xml:space="preserve">Sarah Gibbons </w:t>
      </w:r>
    </w:p>
    <w:p w:rsidR="00813B00" w:rsidRPr="00813B00" w:rsidRDefault="00813B00" w:rsidP="00813B00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>Machine Learning—Assignment 3</w:t>
      </w:r>
    </w:p>
    <w:p w:rsidR="00813B00" w:rsidRPr="00813B00" w:rsidRDefault="00813B00" w:rsidP="00813B00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>11/28/17</w:t>
      </w:r>
    </w:p>
    <w:p w:rsidR="00813B00" w:rsidRPr="00813B00" w:rsidRDefault="00813B00" w:rsidP="00813B00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13B00" w:rsidRPr="00813B00" w:rsidRDefault="00813B00" w:rsidP="00813B00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14DEC" w:rsidRPr="00813B00" w:rsidRDefault="00714DEC" w:rsidP="00714DEC">
      <w:pPr>
        <w:pStyle w:val="ListParagraph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>Linear Accuracy = 97.7% (586 correct, 14 incorrect, 600 total)</w:t>
      </w:r>
    </w:p>
    <w:p w:rsidR="00714DEC" w:rsidRPr="00813B00" w:rsidRDefault="00714DEC" w:rsidP="00714DEC">
      <w:pPr>
        <w:pStyle w:val="ListParagraph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>Polynomial Accuracy = 97.33% (584 correct, 16 incorrect, 600 total)</w:t>
      </w:r>
    </w:p>
    <w:p w:rsidR="00714DEC" w:rsidRPr="00813B00" w:rsidRDefault="00714DEC" w:rsidP="00714DEC">
      <w:pPr>
        <w:pStyle w:val="ListParagraph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 xml:space="preserve">Radial basis function Accuracy </w:t>
      </w:r>
      <w:proofErr w:type="gramStart"/>
      <w:r w:rsidRPr="00813B00">
        <w:rPr>
          <w:rFonts w:ascii="Tahoma" w:eastAsia="Times New Roman" w:hAnsi="Tahoma" w:cs="Tahoma"/>
          <w:color w:val="000000"/>
        </w:rPr>
        <w:t>=  97.7</w:t>
      </w:r>
      <w:proofErr w:type="gramEnd"/>
      <w:r w:rsidRPr="00813B00">
        <w:rPr>
          <w:rFonts w:ascii="Tahoma" w:eastAsia="Times New Roman" w:hAnsi="Tahoma" w:cs="Tahoma"/>
          <w:color w:val="000000"/>
        </w:rPr>
        <w:t>% (586 correct, 14 incorrect, 600 total)</w:t>
      </w:r>
    </w:p>
    <w:p w:rsidR="00714DEC" w:rsidRPr="00813B00" w:rsidRDefault="00714DEC" w:rsidP="00714DEC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14DEC" w:rsidRPr="00813B00" w:rsidRDefault="00714DEC" w:rsidP="00813B00">
      <w:pPr>
        <w:spacing w:after="0" w:line="240" w:lineRule="auto"/>
        <w:ind w:left="720"/>
        <w:rPr>
          <w:rFonts w:ascii="Tahoma" w:eastAsia="Times New Roman" w:hAnsi="Tahoma" w:cs="Tahoma"/>
          <w:color w:val="000000"/>
        </w:rPr>
      </w:pPr>
      <w:r w:rsidRPr="00813B00">
        <w:rPr>
          <w:rFonts w:ascii="Tahoma" w:eastAsia="Times New Roman" w:hAnsi="Tahoma" w:cs="Tahoma"/>
          <w:color w:val="000000"/>
        </w:rPr>
        <w:t>Fold 1:</w:t>
      </w:r>
      <w:r w:rsidRPr="00813B00">
        <w:rPr>
          <w:rFonts w:ascii="Tahoma" w:eastAsia="Times New Roman" w:hAnsi="Tahoma" w:cs="Tahoma"/>
          <w:color w:val="000000"/>
        </w:rPr>
        <w:tab/>
        <w:t>Accuracy on test set:</w:t>
      </w:r>
      <w:r w:rsidRPr="00813B00">
        <w:rPr>
          <w:rFonts w:ascii="Tahoma" w:eastAsia="Times New Roman" w:hAnsi="Tahoma" w:cs="Tahoma"/>
          <w:color w:val="000000"/>
        </w:rPr>
        <w:tab/>
      </w:r>
      <w:r w:rsidRPr="00813B00">
        <w:rPr>
          <w:rFonts w:ascii="Tahoma" w:eastAsia="Times New Roman" w:hAnsi="Tahoma" w:cs="Tahoma"/>
          <w:color w:val="000000"/>
        </w:rPr>
        <w:tab/>
        <w:t>96.25% (386 correct, 15 incorrect, 400 total)</w:t>
      </w:r>
    </w:p>
    <w:p w:rsidR="00714DEC" w:rsidRPr="00813B00" w:rsidRDefault="00714DEC" w:rsidP="00813B00">
      <w:pPr>
        <w:spacing w:after="0" w:line="240" w:lineRule="auto"/>
        <w:ind w:left="360" w:firstLine="360"/>
        <w:rPr>
          <w:rFonts w:ascii="Tahoma" w:eastAsia="Times New Roman" w:hAnsi="Tahoma" w:cs="Tahoma"/>
          <w:color w:val="000000"/>
        </w:rPr>
      </w:pPr>
      <w:r w:rsidRPr="00714DEC">
        <w:rPr>
          <w:rFonts w:ascii="Tahoma" w:eastAsia="Times New Roman" w:hAnsi="Tahoma" w:cs="Tahoma"/>
          <w:color w:val="000000"/>
        </w:rPr>
        <w:t>Fold 2:</w:t>
      </w:r>
      <w:r w:rsidRPr="00813B00">
        <w:rPr>
          <w:rFonts w:ascii="Tahoma" w:eastAsia="Times New Roman" w:hAnsi="Tahoma" w:cs="Tahoma"/>
          <w:color w:val="000000"/>
        </w:rPr>
        <w:tab/>
      </w:r>
      <w:r w:rsidRPr="00714DEC">
        <w:rPr>
          <w:rFonts w:ascii="Tahoma" w:eastAsia="Times New Roman" w:hAnsi="Tahoma" w:cs="Tahoma"/>
          <w:color w:val="000000"/>
        </w:rPr>
        <w:t xml:space="preserve">Accuracy on test set: </w:t>
      </w:r>
      <w:r w:rsidRPr="00813B00">
        <w:rPr>
          <w:rFonts w:ascii="Tahoma" w:eastAsia="Times New Roman" w:hAnsi="Tahoma" w:cs="Tahoma"/>
          <w:color w:val="000000"/>
        </w:rPr>
        <w:tab/>
      </w:r>
      <w:r w:rsidRPr="00813B00">
        <w:rPr>
          <w:rFonts w:ascii="Tahoma" w:eastAsia="Times New Roman" w:hAnsi="Tahoma" w:cs="Tahoma"/>
          <w:color w:val="000000"/>
        </w:rPr>
        <w:tab/>
      </w:r>
      <w:r w:rsidRPr="00714DEC">
        <w:rPr>
          <w:rFonts w:ascii="Tahoma" w:eastAsia="Times New Roman" w:hAnsi="Tahoma" w:cs="Tahoma"/>
          <w:color w:val="000000"/>
        </w:rPr>
        <w:t>96.50% (386 correct, 14 incorrect, 400 total)</w:t>
      </w:r>
    </w:p>
    <w:p w:rsidR="00714DEC" w:rsidRPr="00813B00" w:rsidRDefault="00714DEC" w:rsidP="00813B00">
      <w:pPr>
        <w:spacing w:after="0" w:line="240" w:lineRule="auto"/>
        <w:ind w:left="360" w:firstLine="360"/>
        <w:rPr>
          <w:rFonts w:ascii="Tahoma" w:eastAsia="Times New Roman" w:hAnsi="Tahoma" w:cs="Tahoma"/>
          <w:color w:val="000000"/>
        </w:rPr>
      </w:pPr>
      <w:r w:rsidRPr="00714DEC">
        <w:rPr>
          <w:rFonts w:ascii="Tahoma" w:eastAsia="Times New Roman" w:hAnsi="Tahoma" w:cs="Tahoma"/>
          <w:color w:val="000000"/>
        </w:rPr>
        <w:t xml:space="preserve">Fold 3: Accuracy on test set: </w:t>
      </w:r>
      <w:r w:rsidRPr="00813B00">
        <w:rPr>
          <w:rFonts w:ascii="Tahoma" w:eastAsia="Times New Roman" w:hAnsi="Tahoma" w:cs="Tahoma"/>
          <w:color w:val="000000"/>
        </w:rPr>
        <w:tab/>
      </w:r>
      <w:r w:rsidRPr="00813B00">
        <w:rPr>
          <w:rFonts w:ascii="Tahoma" w:eastAsia="Times New Roman" w:hAnsi="Tahoma" w:cs="Tahoma"/>
          <w:color w:val="000000"/>
        </w:rPr>
        <w:tab/>
      </w:r>
      <w:r w:rsidRPr="00714DEC">
        <w:rPr>
          <w:rFonts w:ascii="Tahoma" w:eastAsia="Times New Roman" w:hAnsi="Tahoma" w:cs="Tahoma"/>
          <w:color w:val="000000"/>
        </w:rPr>
        <w:t>96.25% (385 correct, 15 incorrect, 400 total)</w:t>
      </w:r>
    </w:p>
    <w:p w:rsidR="005177AB" w:rsidRDefault="00714DEC" w:rsidP="005177AB">
      <w:pPr>
        <w:spacing w:after="0" w:line="240" w:lineRule="auto"/>
        <w:ind w:left="360" w:firstLine="360"/>
        <w:rPr>
          <w:rFonts w:ascii="Tahoma" w:eastAsia="Times New Roman" w:hAnsi="Tahoma" w:cs="Tahoma"/>
          <w:color w:val="000000"/>
        </w:rPr>
      </w:pPr>
      <w:r w:rsidRPr="00714DEC">
        <w:rPr>
          <w:rFonts w:ascii="Tahoma" w:eastAsia="Times New Roman" w:hAnsi="Tahoma" w:cs="Tahoma"/>
          <w:color w:val="000000"/>
        </w:rPr>
        <w:t xml:space="preserve">Fold </w:t>
      </w:r>
      <w:r w:rsidRPr="00813B00">
        <w:rPr>
          <w:rFonts w:ascii="Tahoma" w:eastAsia="Times New Roman" w:hAnsi="Tahoma" w:cs="Tahoma"/>
          <w:color w:val="000000"/>
        </w:rPr>
        <w:t>4</w:t>
      </w:r>
      <w:r w:rsidRPr="00714DEC">
        <w:rPr>
          <w:rFonts w:ascii="Tahoma" w:eastAsia="Times New Roman" w:hAnsi="Tahoma" w:cs="Tahoma"/>
          <w:color w:val="000000"/>
        </w:rPr>
        <w:t xml:space="preserve">: Accuracy on test set: </w:t>
      </w:r>
      <w:r w:rsidRPr="00813B00">
        <w:rPr>
          <w:rFonts w:ascii="Tahoma" w:eastAsia="Times New Roman" w:hAnsi="Tahoma" w:cs="Tahoma"/>
          <w:color w:val="000000"/>
        </w:rPr>
        <w:tab/>
      </w:r>
      <w:r w:rsidRPr="00813B00">
        <w:rPr>
          <w:rFonts w:ascii="Tahoma" w:eastAsia="Times New Roman" w:hAnsi="Tahoma" w:cs="Tahoma"/>
          <w:color w:val="000000"/>
        </w:rPr>
        <w:tab/>
      </w:r>
      <w:r w:rsidRPr="00714DEC">
        <w:rPr>
          <w:rFonts w:ascii="Tahoma" w:eastAsia="Times New Roman" w:hAnsi="Tahoma" w:cs="Tahoma"/>
          <w:color w:val="000000"/>
        </w:rPr>
        <w:t>97.50% (390 correct, 10 incorrect, 400 total)</w:t>
      </w:r>
    </w:p>
    <w:p w:rsidR="00714DEC" w:rsidRPr="00714DEC" w:rsidRDefault="00714DEC" w:rsidP="005177AB">
      <w:pPr>
        <w:spacing w:after="0" w:line="240" w:lineRule="auto"/>
        <w:ind w:left="360" w:firstLine="360"/>
        <w:rPr>
          <w:rFonts w:ascii="Tahoma" w:eastAsia="Times New Roman" w:hAnsi="Tahoma" w:cs="Tahoma"/>
          <w:color w:val="000000"/>
        </w:rPr>
      </w:pPr>
      <w:r w:rsidRPr="00714DEC">
        <w:rPr>
          <w:rFonts w:ascii="Tahoma" w:eastAsia="Times New Roman" w:hAnsi="Tahoma" w:cs="Tahoma"/>
          <w:color w:val="000000"/>
        </w:rPr>
        <w:t xml:space="preserve">Fold </w:t>
      </w:r>
      <w:r w:rsidRPr="00813B00">
        <w:rPr>
          <w:rFonts w:ascii="Tahoma" w:eastAsia="Times New Roman" w:hAnsi="Tahoma" w:cs="Tahoma"/>
          <w:color w:val="000000"/>
        </w:rPr>
        <w:t>5</w:t>
      </w:r>
      <w:r w:rsidRPr="00714DEC">
        <w:rPr>
          <w:rFonts w:ascii="Tahoma" w:eastAsia="Times New Roman" w:hAnsi="Tahoma" w:cs="Tahoma"/>
          <w:color w:val="000000"/>
        </w:rPr>
        <w:t>:</w:t>
      </w:r>
      <w:r w:rsidRPr="00813B00">
        <w:rPr>
          <w:rFonts w:ascii="Tahoma" w:eastAsia="Times New Roman" w:hAnsi="Tahoma" w:cs="Tahoma"/>
          <w:color w:val="000000"/>
        </w:rPr>
        <w:tab/>
      </w:r>
      <w:r w:rsidRPr="00714DEC">
        <w:rPr>
          <w:rFonts w:ascii="Tahoma" w:eastAsia="Times New Roman" w:hAnsi="Tahoma" w:cs="Tahoma"/>
          <w:color w:val="000000"/>
        </w:rPr>
        <w:t xml:space="preserve">Accuracy on test set: </w:t>
      </w:r>
      <w:r w:rsidRPr="00813B00">
        <w:rPr>
          <w:rFonts w:ascii="Tahoma" w:eastAsia="Times New Roman" w:hAnsi="Tahoma" w:cs="Tahoma"/>
          <w:color w:val="000000"/>
        </w:rPr>
        <w:tab/>
      </w:r>
      <w:r w:rsidRPr="00813B00">
        <w:rPr>
          <w:rFonts w:ascii="Tahoma" w:eastAsia="Times New Roman" w:hAnsi="Tahoma" w:cs="Tahoma"/>
          <w:color w:val="000000"/>
        </w:rPr>
        <w:tab/>
      </w:r>
      <w:r w:rsidRPr="00714DEC">
        <w:rPr>
          <w:rFonts w:ascii="Tahoma" w:eastAsia="Times New Roman" w:hAnsi="Tahoma" w:cs="Tahoma"/>
          <w:color w:val="000000"/>
        </w:rPr>
        <w:t>98.00% (392 correct, 8 incorrect, 400 total)</w:t>
      </w:r>
    </w:p>
    <w:p w:rsidR="00714DEC" w:rsidRPr="00813B00" w:rsidRDefault="00714DEC" w:rsidP="00714DEC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714DEC">
        <w:rPr>
          <w:rFonts w:ascii="Tahoma" w:eastAsia="Times New Roman" w:hAnsi="Tahoma" w:cs="Tahoma"/>
          <w:color w:val="000000"/>
        </w:rPr>
        <w:t>      </w:t>
      </w:r>
      <w:r w:rsidRPr="00813B00">
        <w:rPr>
          <w:rFonts w:ascii="Tahoma" w:eastAsia="Times New Roman" w:hAnsi="Tahoma" w:cs="Tahoma"/>
          <w:color w:val="000000"/>
        </w:rPr>
        <w:tab/>
      </w:r>
    </w:p>
    <w:p w:rsidR="00714DEC" w:rsidRPr="00813B00" w:rsidRDefault="00714DEC" w:rsidP="00714DEC">
      <w:pPr>
        <w:spacing w:after="0" w:line="240" w:lineRule="auto"/>
        <w:ind w:firstLine="360"/>
        <w:rPr>
          <w:rFonts w:ascii="Tahoma" w:eastAsia="Times New Roman" w:hAnsi="Tahoma" w:cs="Tahoma"/>
          <w:color w:val="000000"/>
        </w:rPr>
      </w:pPr>
      <w:r w:rsidRPr="00714DEC">
        <w:rPr>
          <w:rFonts w:ascii="Tahoma" w:eastAsia="Times New Roman" w:hAnsi="Tahoma" w:cs="Tahoma"/>
          <w:color w:val="000000"/>
        </w:rPr>
        <w:t>Average 96.9</w:t>
      </w:r>
    </w:p>
    <w:p w:rsidR="00714DEC" w:rsidRPr="00813B00" w:rsidRDefault="00714DEC" w:rsidP="00714DEC">
      <w:pPr>
        <w:spacing w:after="0" w:line="240" w:lineRule="auto"/>
        <w:ind w:firstLine="360"/>
        <w:rPr>
          <w:rFonts w:ascii="Tahoma" w:eastAsia="Times New Roman" w:hAnsi="Tahoma" w:cs="Tahoma"/>
          <w:color w:val="000000"/>
        </w:rPr>
      </w:pPr>
    </w:p>
    <w:p w:rsidR="00813B00" w:rsidRPr="00813B00" w:rsidRDefault="00813B00" w:rsidP="00714DEC">
      <w:pPr>
        <w:spacing w:after="0" w:line="240" w:lineRule="auto"/>
        <w:ind w:firstLine="360"/>
        <w:rPr>
          <w:rFonts w:ascii="Tahoma" w:eastAsia="Times New Roman" w:hAnsi="Tahoma" w:cs="Tahoma"/>
          <w:color w:val="000000"/>
        </w:rPr>
      </w:pPr>
    </w:p>
    <w:p w:rsidR="00714DEC" w:rsidRPr="005177AB" w:rsidRDefault="00714DEC" w:rsidP="005177AB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</w:rPr>
      </w:pPr>
      <w:bookmarkStart w:id="0" w:name="_GoBack"/>
      <w:bookmarkEnd w:id="0"/>
      <w:r w:rsidRPr="005177AB">
        <w:rPr>
          <w:rFonts w:ascii="Tahoma" w:hAnsi="Tahoma" w:cs="Tahoma"/>
          <w:color w:val="000000"/>
        </w:rPr>
        <w:t xml:space="preserve">The best gamma based on the ROC Curve graphed below will be 0.99 (0.1) </w:t>
      </w:r>
      <w:r w:rsidR="00813B00" w:rsidRPr="005177AB">
        <w:rPr>
          <w:rFonts w:ascii="Tahoma" w:hAnsi="Tahoma" w:cs="Tahoma"/>
          <w:color w:val="000000"/>
        </w:rPr>
        <w:t>(</w:t>
      </w:r>
      <w:r w:rsidRPr="005177AB">
        <w:rPr>
          <w:rFonts w:ascii="Tahoma" w:hAnsi="Tahoma" w:cs="Tahoma"/>
          <w:color w:val="000000"/>
        </w:rPr>
        <w:t>the point closest to the left of the graph</w:t>
      </w:r>
      <w:r w:rsidR="00813B00" w:rsidRPr="005177AB">
        <w:rPr>
          <w:rFonts w:ascii="Tahoma" w:hAnsi="Tahoma" w:cs="Tahoma"/>
          <w:color w:val="000000"/>
        </w:rPr>
        <w:t>)</w:t>
      </w:r>
    </w:p>
    <w:p w:rsidR="006F667C" w:rsidRPr="00813B00" w:rsidRDefault="00813B00" w:rsidP="00302374">
      <w:pPr>
        <w:rPr>
          <w:rFonts w:ascii="Tahoma" w:hAnsi="Tahoma" w:cs="Tahoma"/>
        </w:rPr>
      </w:pPr>
      <w:r w:rsidRPr="00813B00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4637D676">
            <wp:simplePos x="0" y="0"/>
            <wp:positionH relativeFrom="column">
              <wp:posOffset>1927225</wp:posOffset>
            </wp:positionH>
            <wp:positionV relativeFrom="paragraph">
              <wp:posOffset>582930</wp:posOffset>
            </wp:positionV>
            <wp:extent cx="4660900" cy="3682365"/>
            <wp:effectExtent l="0" t="0" r="6350" b="13335"/>
            <wp:wrapTight wrapText="bothSides">
              <wp:wrapPolygon edited="0">
                <wp:start x="0" y="0"/>
                <wp:lineTo x="0" y="21566"/>
                <wp:lineTo x="21541" y="21566"/>
                <wp:lineTo x="2154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22D830-C0C3-44A8-8C73-9D7A7AB1C1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B0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D22428" wp14:editId="38C1C9FB">
                <wp:simplePos x="0" y="0"/>
                <wp:positionH relativeFrom="column">
                  <wp:posOffset>3883660</wp:posOffset>
                </wp:positionH>
                <wp:positionV relativeFrom="paragraph">
                  <wp:posOffset>4064635</wp:posOffset>
                </wp:positionV>
                <wp:extent cx="697865" cy="204470"/>
                <wp:effectExtent l="0" t="0" r="6985" b="5080"/>
                <wp:wrapTight wrapText="bothSides">
                  <wp:wrapPolygon edited="0">
                    <wp:start x="0" y="0"/>
                    <wp:lineTo x="0" y="20124"/>
                    <wp:lineTo x="21227" y="20124"/>
                    <wp:lineTo x="2122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3B00" w:rsidRPr="0013186A" w:rsidRDefault="00813B00" w:rsidP="00813B0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false positive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22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8pt;margin-top:320.05pt;width:54.95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T8LwIAAF8EAAAOAAAAZHJzL2Uyb0RvYy54bWysVFFv2yAQfp+0/4B4X5xEXdp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" stroked="f">
                <v:textbox inset="0,0,0,0">
                  <w:txbxContent>
                    <w:p w:rsidR="00813B00" w:rsidRPr="0013186A" w:rsidRDefault="00813B00" w:rsidP="00813B0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false positive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F667C" w:rsidRPr="0081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CCD"/>
    <w:multiLevelType w:val="hybridMultilevel"/>
    <w:tmpl w:val="6E088950"/>
    <w:lvl w:ilvl="0" w:tplc="5BE0FA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143D1"/>
    <w:multiLevelType w:val="multilevel"/>
    <w:tmpl w:val="BA10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DE"/>
    <w:rsid w:val="002A5EDE"/>
    <w:rsid w:val="002B7604"/>
    <w:rsid w:val="00302374"/>
    <w:rsid w:val="005177AB"/>
    <w:rsid w:val="00714DEC"/>
    <w:rsid w:val="00813B00"/>
    <w:rsid w:val="009A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4437"/>
  <w15:chartTrackingRefBased/>
  <w15:docId w15:val="{A83002CD-0D78-4E91-8731-B79FBA9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3629737117153835701m-6072762153428078450gmail-apple-tab-span">
    <w:name w:val="m_3629737117153835701m_-6072762153428078450gmail-apple-tab-span"/>
    <w:basedOn w:val="DefaultParagraphFont"/>
    <w:rsid w:val="002A5EDE"/>
  </w:style>
  <w:style w:type="table" w:styleId="TableGrid">
    <w:name w:val="Table Grid"/>
    <w:basedOn w:val="TableNormal"/>
    <w:uiPriority w:val="39"/>
    <w:rsid w:val="003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D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3B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fgib\Desktop\MLsfg11\hw3\ROC_Sfg1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851761277280612"/>
          <c:y val="1.9111063622266423E-2"/>
          <c:w val="0.80580314263902453"/>
          <c:h val="0.85342769001473984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dk1">
                      <a:tint val="885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885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885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C00000"/>
                </a:solidFill>
                <a:ln w="25400">
                  <a:solidFill>
                    <a:srgbClr val="FF0000"/>
                  </a:solidFill>
                  <a:round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7B51-4101-A4DB-12CFABE0EC29}"/>
              </c:ext>
            </c:extLst>
          </c:dPt>
          <c:xVal>
            <c:numRef>
              <c:f>Sheet1!$B$2:$B$20</c:f>
              <c:numCache>
                <c:formatCode>0.000</c:formatCode>
                <c:ptCount val="19"/>
                <c:pt idx="0">
                  <c:v>3.6666999999999998E-2</c:v>
                </c:pt>
                <c:pt idx="1">
                  <c:v>4.3333000000000003E-2</c:v>
                </c:pt>
                <c:pt idx="2">
                  <c:v>4.3333000000000003E-2</c:v>
                </c:pt>
                <c:pt idx="3">
                  <c:v>4.3333000000000003E-2</c:v>
                </c:pt>
                <c:pt idx="4">
                  <c:v>4.3333000000000003E-2</c:v>
                </c:pt>
                <c:pt idx="5">
                  <c:v>4.3333000000000003E-2</c:v>
                </c:pt>
                <c:pt idx="6">
                  <c:v>0.106667</c:v>
                </c:pt>
                <c:pt idx="7">
                  <c:v>0.54</c:v>
                </c:pt>
                <c:pt idx="8">
                  <c:v>0.72666699999999995</c:v>
                </c:pt>
                <c:pt idx="9">
                  <c:v>0.81666700000000003</c:v>
                </c:pt>
                <c:pt idx="10">
                  <c:v>0.87333300000000003</c:v>
                </c:pt>
                <c:pt idx="11">
                  <c:v>0.91</c:v>
                </c:pt>
                <c:pt idx="12">
                  <c:v>0.93</c:v>
                </c:pt>
                <c:pt idx="13">
                  <c:v>0.93666700000000003</c:v>
                </c:pt>
                <c:pt idx="14">
                  <c:v>0.95666700000000005</c:v>
                </c:pt>
                <c:pt idx="15">
                  <c:v>0.99</c:v>
                </c:pt>
                <c:pt idx="16">
                  <c:v>0.99333300000000002</c:v>
                </c:pt>
                <c:pt idx="17">
                  <c:v>0.99666699999999997</c:v>
                </c:pt>
                <c:pt idx="18">
                  <c:v>1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0.99</c:v>
                </c:pt>
                <c:pt idx="1">
                  <c:v>0.99</c:v>
                </c:pt>
                <c:pt idx="2">
                  <c:v>0.99</c:v>
                </c:pt>
                <c:pt idx="3">
                  <c:v>0.99</c:v>
                </c:pt>
                <c:pt idx="4">
                  <c:v>0.99</c:v>
                </c:pt>
                <c:pt idx="5">
                  <c:v>0.99</c:v>
                </c:pt>
                <c:pt idx="6">
                  <c:v>0.99333300000000002</c:v>
                </c:pt>
                <c:pt idx="7">
                  <c:v>0.99666699999999997</c:v>
                </c:pt>
                <c:pt idx="8">
                  <c:v>0.99666699999999997</c:v>
                </c:pt>
                <c:pt idx="9">
                  <c:v>0.99666699999999997</c:v>
                </c:pt>
                <c:pt idx="10">
                  <c:v>0.99666699999999997</c:v>
                </c:pt>
                <c:pt idx="11">
                  <c:v>0.99666699999999997</c:v>
                </c:pt>
                <c:pt idx="12">
                  <c:v>0.99666699999999997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51-4101-A4DB-12CFABE0E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9760344"/>
        <c:axId val="989759688"/>
      </c:scatterChart>
      <c:valAx>
        <c:axId val="989760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759688"/>
        <c:crosses val="autoZero"/>
        <c:crossBetween val="midCat"/>
      </c:valAx>
      <c:valAx>
        <c:axId val="98975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760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 algn="ctr"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0.01675</cdr:x>
      <cdr:y>0.30363</cdr:y>
    </cdr:from>
    <cdr:to>
      <cdr:x>0.09611</cdr:x>
      <cdr:y>0.56417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 rotWithShape="1">
        <a:blip xmlns:a="http://schemas.openxmlformats.org/drawingml/2006/main" xmlns:r="http://schemas.openxmlformats.org/officeDocument/2006/relationships" r:embed="rId1"/>
        <a:srcRect xmlns:a="http://schemas.openxmlformats.org/drawingml/2006/main" r="72428"/>
        <a:stretch xmlns:a="http://schemas.openxmlformats.org/drawingml/2006/main"/>
      </cdr:blipFill>
      <cdr:spPr>
        <a:xfrm xmlns:a="http://schemas.openxmlformats.org/drawingml/2006/main" rot="16200000">
          <a:off x="-192028" y="1384405"/>
          <a:ext cx="950975" cy="398669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Gibbons</dc:creator>
  <cp:keywords/>
  <dc:description/>
  <cp:lastModifiedBy>Sarah Gibbons</cp:lastModifiedBy>
  <cp:revision>1</cp:revision>
  <dcterms:created xsi:type="dcterms:W3CDTF">2017-11-28T19:09:00Z</dcterms:created>
  <dcterms:modified xsi:type="dcterms:W3CDTF">2017-11-28T21:27:00Z</dcterms:modified>
</cp:coreProperties>
</file>