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r>
        <w:rPr>
          <w:rFonts w:ascii="Arial" w:hAnsi="Arial"/>
        </w:rPr>
      </w:r>
    </w:p>
    <w:p>
      <w:pPr>
        <w:spacing w:after="2400"/>
      </w:pPr>
      <w:r>
        <w:rPr>
          <w:rFonts w:ascii="Arial" w:hAnsi="Arial"/>
        </w:rPr>
      </w:r>
    </w:p>
    <w:p>
      <w:pPr>
        <w:spacing w:before="1440"/>
        <w:jc w:val="center"/>
      </w:pPr>
      <w:r>
        <w:rPr>
          <w:rFonts w:ascii="Arial" w:hAnsi="Arial"/>
          <w:b/>
          <w:color w:val="1B3A5C"/>
          <w:sz w:val="56"/>
        </w:rPr>
        <w:t>CASECORE</w:t>
      </w:r>
    </w:p>
    <w:p>
      <w:pPr>
        <w:spacing w:after="480"/>
        <w:jc w:val="center"/>
      </w:pPr>
      <w:r>
        <w:rPr>
          <w:rFonts w:ascii="Arial" w:hAnsi="Arial"/>
          <w:b/>
          <w:color w:val="2E75B6"/>
          <w:sz w:val="44"/>
        </w:rPr>
        <w:t>INTAKE ENGINE</w:t>
      </w:r>
    </w:p>
    <w:p>
      <w:pPr>
        <w:pBdr>
          <w:bottom w:val="single" w:sz="12" w:space="1" w:color="2E75B6"/>
        </w:pBdr>
        <w:spacing w:after="480"/>
        <w:jc w:val="center"/>
      </w:pPr>
    </w:p>
    <w:p>
      <w:pPr>
        <w:spacing w:before="480"/>
        <w:jc w:val="center"/>
      </w:pPr>
      <w:r>
        <w:rPr>
          <w:rFonts w:ascii="Arial" w:hAnsi="Arial"/>
          <w:color w:val="666666"/>
          <w:sz w:val="28"/>
        </w:rPr>
        <w:t>Platform Guide for Attorneys</w:t>
      </w:r>
    </w:p>
    <w:p>
      <w:pPr>
        <w:jc w:val="center"/>
      </w:pPr>
      <w:r>
        <w:rPr>
          <w:rFonts w:ascii="Arial" w:hAnsi="Arial"/>
          <w:color w:val="666666"/>
          <w:sz w:val="24"/>
        </w:rPr>
        <w:t>Sandbox Testing &amp; Production Operations</w:t>
      </w:r>
    </w:p>
    <w:p>
      <w:pPr>
        <w:spacing w:after="1440"/>
      </w:pPr>
      <w:r>
        <w:rPr>
          <w:rFonts w:ascii="Arial" w:hAnsi="Arial"/>
        </w:rPr>
      </w:r>
    </w:p>
    <w:p>
      <w:pPr>
        <w:jc w:val="center"/>
      </w:pPr>
      <w:r>
        <w:rPr>
          <w:rFonts w:ascii="Arial" w:hAnsi="Arial"/>
          <w:color w:val="666666"/>
          <w:sz w:val="20"/>
        </w:rPr>
        <w:t>Version 1.0  |  April 2026</w:t>
      </w:r>
    </w:p>
    <w:p>
      <w:pPr>
        <w:spacing w:before="360"/>
        <w:jc w:val="center"/>
      </w:pPr>
      <w:r>
        <w:rPr>
          <w:rFonts w:ascii="Arial" w:hAnsi="Arial"/>
          <w:b/>
          <w:color w:val="AA0000"/>
          <w:sz w:val="18"/>
        </w:rPr>
        <w:t>CONFIDENTIAL — For Authorized Users Only</w:t>
      </w:r>
    </w:p>
    <w:p>
      <w:r>
        <w:br w:type="page"/>
      </w:r>
    </w:p>
    <w:p>
      <w:pPr>
        <w:pStyle w:val="Heading1"/>
      </w:pPr>
      <w:r>
        <w:t>1. What Is CaseCore?</w:t>
      </w:r>
    </w:p>
    <w:p>
      <w:r>
        <w:rPr>
          <w:rFonts w:ascii="Arial" w:hAnsi="Arial"/>
        </w:rPr>
        <w:t>CaseCore is an AI-powered legal platform that assists attorneys through every phase of case management. The Intake Engine is the entry point: it captures client narratives (text or voice), identifies potential Causes of Action (COA), maps burden elements, tracks evidence, and builds a structured case foundation that feeds downstream workflows including discovery, depositions, and trial preparation.</w:t>
      </w:r>
    </w:p>
    <w:p>
      <w:r>
        <w:rPr>
          <w:rFonts w:ascii="Arial" w:hAnsi="Arial"/>
        </w:rPr>
        <w:t>The platform uses Claude (Anthropic) for legal reasoning and narrative analysis, and Whisper (OpenAI) for speech-to-text transcription. All AI outputs use governance-safe language and are clearly marked as preliminary assessments requiring attorney review.</w:t>
      </w:r>
    </w:p>
    <w:p>
      <w:pPr>
        <w:pStyle w:val="Heading1"/>
      </w:pPr>
      <w:r>
        <w:t>2. Understanding the Two Environments</w:t>
      </w:r>
    </w:p>
    <w:p>
      <w:r>
        <w:rPr>
          <w:rFonts w:ascii="Arial" w:hAnsi="Arial"/>
        </w:rPr>
        <w:t>CaseCore operates in two strictly separated environments. This is a critical architectural decision: data created in one environment can never cross into the other.</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B3A5C" w:val="clear"/>
          </w:tcPr>
          <w:p>
            <w:r/>
            <w:r>
              <w:rPr>
                <w:rFonts w:ascii="Arial" w:hAnsi="Arial"/>
                <w:b/>
                <w:color w:val="FFFFFF"/>
                <w:sz w:val="20"/>
              </w:rPr>
            </w:r>
          </w:p>
        </w:tc>
        <w:tc>
          <w:tcPr>
            <w:tcW w:type="dxa" w:w="3744"/>
            <w:shd w:fill="1B3A5C" w:val="clear"/>
          </w:tcPr>
          <w:p>
            <w:r/>
            <w:r>
              <w:rPr>
                <w:rFonts w:ascii="Arial" w:hAnsi="Arial"/>
                <w:b/>
                <w:color w:val="FFFFFF"/>
                <w:sz w:val="20"/>
              </w:rPr>
              <w:t>SANDBOX</w:t>
            </w:r>
          </w:p>
        </w:tc>
        <w:tc>
          <w:tcPr>
            <w:tcW w:type="dxa" w:w="3888"/>
            <w:shd w:fill="1B3A5C" w:val="clear"/>
          </w:tcPr>
          <w:p>
            <w:r/>
            <w:r>
              <w:rPr>
                <w:rFonts w:ascii="Arial" w:hAnsi="Arial"/>
                <w:b/>
                <w:color w:val="FFFFFF"/>
                <w:sz w:val="20"/>
              </w:rPr>
              <w:t>PRODUCTION</w:t>
            </w:r>
          </w:p>
        </w:tc>
      </w:tr>
      <w:tr>
        <w:tc>
          <w:tcPr>
            <w:tcW w:type="dxa" w:w="1728"/>
            <w:shd w:fill="E8F0F8" w:val="clear"/>
          </w:tcPr>
          <w:p>
            <w:r/>
            <w:r>
              <w:rPr>
                <w:rFonts w:ascii="Arial" w:hAnsi="Arial"/>
                <w:sz w:val="20"/>
              </w:rPr>
              <w:t>Purpose</w:t>
            </w:r>
          </w:p>
        </w:tc>
        <w:tc>
          <w:tcPr>
            <w:tcW w:type="dxa" w:w="3744"/>
            <w:shd w:fill="E8F0F8" w:val="clear"/>
          </w:tcPr>
          <w:p>
            <w:r/>
            <w:r>
              <w:rPr>
                <w:rFonts w:ascii="Arial" w:hAnsi="Arial"/>
                <w:sz w:val="20"/>
              </w:rPr>
              <w:t>Play, test, iterate. All data is disposable.</w:t>
            </w:r>
          </w:p>
        </w:tc>
        <w:tc>
          <w:tcPr>
            <w:tcW w:type="dxa" w:w="3888"/>
            <w:shd w:fill="E8F0F8" w:val="clear"/>
          </w:tcPr>
          <w:p>
            <w:r/>
            <w:r>
              <w:rPr>
                <w:rFonts w:ascii="Arial" w:hAnsi="Arial"/>
                <w:sz w:val="20"/>
              </w:rPr>
              <w:t>Pristine. Real case data only.</w:t>
            </w:r>
          </w:p>
        </w:tc>
      </w:tr>
      <w:tr>
        <w:tc>
          <w:tcPr>
            <w:tcW w:type="dxa" w:w="1728"/>
            <w:shd w:fill="FFFFFF" w:val="clear"/>
          </w:tcPr>
          <w:p>
            <w:r/>
            <w:r>
              <w:rPr>
                <w:rFonts w:ascii="Arial" w:hAnsi="Arial"/>
                <w:sz w:val="20"/>
              </w:rPr>
              <w:t>Data Path</w:t>
            </w:r>
          </w:p>
        </w:tc>
        <w:tc>
          <w:tcPr>
            <w:tcW w:type="dxa" w:w="3744"/>
            <w:shd w:fill="FFFFFF" w:val="clear"/>
          </w:tcPr>
          <w:p>
            <w:r/>
            <w:r>
              <w:rPr>
                <w:rFonts w:ascii="Arial" w:hAnsi="Arial"/>
                <w:sz w:val="20"/>
              </w:rPr>
              <w:t>data/sandbox/</w:t>
            </w:r>
          </w:p>
        </w:tc>
        <w:tc>
          <w:tcPr>
            <w:tcW w:type="dxa" w:w="3888"/>
            <w:shd w:fill="FFFFFF" w:val="clear"/>
          </w:tcPr>
          <w:p>
            <w:r/>
            <w:r>
              <w:rPr>
                <w:rFonts w:ascii="Arial" w:hAnsi="Arial"/>
                <w:sz w:val="20"/>
              </w:rPr>
              <w:t>data/production/</w:t>
            </w:r>
          </w:p>
        </w:tc>
      </w:tr>
      <w:tr>
        <w:tc>
          <w:tcPr>
            <w:tcW w:type="dxa" w:w="1728"/>
            <w:shd w:fill="E8F0F8" w:val="clear"/>
          </w:tcPr>
          <w:p>
            <w:r/>
            <w:r>
              <w:rPr>
                <w:rFonts w:ascii="Arial" w:hAnsi="Arial"/>
                <w:sz w:val="20"/>
              </w:rPr>
              <w:t>Reset</w:t>
            </w:r>
          </w:p>
        </w:tc>
        <w:tc>
          <w:tcPr>
            <w:tcW w:type="dxa" w:w="3744"/>
            <w:shd w:fill="E8F0F8" w:val="clear"/>
          </w:tcPr>
          <w:p>
            <w:r/>
            <w:r>
              <w:rPr>
                <w:rFonts w:ascii="Arial" w:hAnsi="Arial"/>
                <w:sz w:val="20"/>
              </w:rPr>
              <w:t>Wipeable at any time with --reset</w:t>
            </w:r>
          </w:p>
        </w:tc>
        <w:tc>
          <w:tcPr>
            <w:tcW w:type="dxa" w:w="3888"/>
            <w:shd w:fill="E8F0F8" w:val="clear"/>
          </w:tcPr>
          <w:p>
            <w:r/>
            <w:r>
              <w:rPr>
                <w:rFonts w:ascii="Arial" w:hAnsi="Arial"/>
                <w:sz w:val="20"/>
              </w:rPr>
              <w:t>Pre-flight verification before launch</w:t>
            </w:r>
          </w:p>
        </w:tc>
      </w:tr>
      <w:tr>
        <w:tc>
          <w:tcPr>
            <w:tcW w:type="dxa" w:w="1728"/>
            <w:shd w:fill="FFFFFF" w:val="clear"/>
          </w:tcPr>
          <w:p>
            <w:r/>
            <w:r>
              <w:rPr>
                <w:rFonts w:ascii="Arial" w:hAnsi="Arial"/>
                <w:sz w:val="20"/>
              </w:rPr>
              <w:t>Default?</w:t>
            </w:r>
          </w:p>
        </w:tc>
        <w:tc>
          <w:tcPr>
            <w:tcW w:type="dxa" w:w="3744"/>
            <w:shd w:fill="FFFFFF" w:val="clear"/>
          </w:tcPr>
          <w:p>
            <w:r/>
            <w:r>
              <w:rPr>
                <w:rFonts w:ascii="Arial" w:hAnsi="Arial"/>
                <w:sz w:val="20"/>
              </w:rPr>
              <w:t>Yes (safety first)</w:t>
            </w:r>
          </w:p>
        </w:tc>
        <w:tc>
          <w:tcPr>
            <w:tcW w:type="dxa" w:w="3888"/>
            <w:shd w:fill="FFFFFF" w:val="clear"/>
          </w:tcPr>
          <w:p>
            <w:r/>
            <w:r>
              <w:rPr>
                <w:rFonts w:ascii="Arial" w:hAnsi="Arial"/>
                <w:sz w:val="20"/>
              </w:rPr>
              <w:t>Requires explicit activation</w:t>
            </w:r>
          </w:p>
        </w:tc>
      </w:tr>
      <w:tr>
        <w:tc>
          <w:tcPr>
            <w:tcW w:type="dxa" w:w="1728"/>
            <w:shd w:fill="E8F0F8" w:val="clear"/>
          </w:tcPr>
          <w:p>
            <w:r/>
            <w:r>
              <w:rPr>
                <w:rFonts w:ascii="Arial" w:hAnsi="Arial"/>
                <w:sz w:val="20"/>
              </w:rPr>
              <w:t>Port</w:t>
            </w:r>
          </w:p>
        </w:tc>
        <w:tc>
          <w:tcPr>
            <w:tcW w:type="dxa" w:w="3744"/>
            <w:shd w:fill="E8F0F8" w:val="clear"/>
          </w:tcPr>
          <w:p>
            <w:r/>
            <w:r>
              <w:rPr>
                <w:rFonts w:ascii="Arial" w:hAnsi="Arial"/>
                <w:sz w:val="20"/>
              </w:rPr>
              <w:t>8000</w:t>
            </w:r>
          </w:p>
        </w:tc>
        <w:tc>
          <w:tcPr>
            <w:tcW w:type="dxa" w:w="3888"/>
            <w:shd w:fill="E8F0F8" w:val="clear"/>
          </w:tcPr>
          <w:p>
            <w:r/>
            <w:r>
              <w:rPr>
                <w:rFonts w:ascii="Arial" w:hAnsi="Arial"/>
                <w:sz w:val="20"/>
              </w:rPr>
              <w:t>8080</w:t>
            </w:r>
          </w:p>
        </w:tc>
      </w:tr>
    </w:tbl>
    <w:p>
      <w:pPr>
        <w:pBdr>
          <w:left w:val="single" w:sz="24" w:space="8" w:color="CC0000"/>
        </w:pBdr>
        <w:spacing w:before="160" w:after="160"/>
        <w:ind w:left="432"/>
      </w:pPr>
      <w:r>
        <w:rPr>
          <w:rFonts w:ascii="Arial" w:hAnsi="Arial"/>
          <w:b/>
          <w:color w:val="CC0000"/>
          <w:sz w:val="22"/>
        </w:rPr>
        <w:t xml:space="preserve">CRITICAL: </w:t>
      </w:r>
      <w:r>
        <w:rPr>
          <w:rFonts w:ascii="Arial" w:hAnsi="Arial"/>
          <w:color w:val="333333"/>
          <w:sz w:val="22"/>
        </w:rPr>
        <w:t>Sandbox data NEVER migrates to production. Production starts clean every time. The canonical legal authority store (statutes, CACI instructions) is shared read-only between both environments because it contains no case data.</w:t>
      </w:r>
    </w:p>
    <w:p>
      <w:pPr>
        <w:pStyle w:val="Heading1"/>
      </w:pPr>
      <w:r>
        <w:t>3. Getting Started</w:t>
      </w:r>
    </w:p>
    <w:p>
      <w:pPr>
        <w:pStyle w:val="Heading2"/>
      </w:pPr>
      <w:r>
        <w:t>3.1 Prerequisites</w:t>
      </w:r>
    </w:p>
    <w:p>
      <w:r>
        <w:rPr>
          <w:rFonts w:ascii="Arial" w:hAnsi="Arial"/>
        </w:rPr>
        <w:t>Before launching CaseCore, ensure the following are in place:</w:t>
      </w:r>
    </w:p>
    <w:p>
      <w:pPr>
        <w:pStyle w:val="ListBullet"/>
      </w:pPr>
      <w:r>
        <w:rPr>
          <w:rFonts w:ascii="Arial" w:hAnsi="Arial"/>
          <w:sz w:val="22"/>
        </w:rPr>
        <w:t>Python 3.12+ installed and available on your PATH</w:t>
      </w:r>
    </w:p>
    <w:p>
      <w:pPr>
        <w:pStyle w:val="ListBullet"/>
      </w:pPr>
      <w:r>
        <w:rPr>
          <w:rFonts w:ascii="Arial" w:hAnsi="Arial"/>
          <w:b/>
          <w:sz w:val="22"/>
        </w:rPr>
        <w:t>API Keys</w:t>
      </w:r>
      <w:r>
        <w:rPr>
          <w:rFonts w:ascii="Arial" w:hAnsi="Arial"/>
          <w:sz w:val="22"/>
        </w:rPr>
        <w:t xml:space="preserve"> configured in a .env file (copy from .env.template):</w:t>
      </w:r>
    </w:p>
    <w:p>
      <w:pPr>
        <w:shd w:fill="F0F0F0" w:val="clear"/>
        <w:spacing w:before="40" w:after="40"/>
        <w:ind w:left="576"/>
      </w:pPr>
      <w:r>
        <w:rPr>
          <w:rFonts w:ascii="Consolas" w:hAnsi="Consolas"/>
          <w:color w:val="333333"/>
          <w:sz w:val="20"/>
        </w:rPr>
        <w:t>ANTHROPIC_API_KEY=sk-ant-...  (required for AI reasoning)</w:t>
      </w:r>
    </w:p>
    <w:p>
      <w:pPr>
        <w:shd w:fill="F0F0F0" w:val="clear"/>
        <w:spacing w:before="40" w:after="40"/>
        <w:ind w:left="576"/>
      </w:pPr>
      <w:r>
        <w:rPr>
          <w:rFonts w:ascii="Consolas" w:hAnsi="Consolas"/>
          <w:color w:val="333333"/>
          <w:sz w:val="20"/>
        </w:rPr>
        <w:t>OPENAI_API_KEY=sk-...         (required for audio transcription)</w:t>
      </w:r>
    </w:p>
    <w:p>
      <w:pPr>
        <w:pStyle w:val="ListBullet"/>
      </w:pPr>
      <w:r>
        <w:rPr>
          <w:rFonts w:ascii="Arial" w:hAnsi="Arial"/>
          <w:b/>
          <w:sz w:val="22"/>
        </w:rPr>
        <w:t>Dependencies</w:t>
      </w:r>
      <w:r>
        <w:rPr>
          <w:rFonts w:ascii="Arial" w:hAnsi="Arial"/>
          <w:sz w:val="22"/>
        </w:rPr>
        <w:t xml:space="preserve"> installed:</w:t>
      </w:r>
    </w:p>
    <w:p>
      <w:pPr>
        <w:shd w:fill="F0F0F0" w:val="clear"/>
        <w:spacing w:before="40" w:after="40"/>
        <w:ind w:left="576"/>
      </w:pPr>
      <w:r>
        <w:rPr>
          <w:rFonts w:ascii="Consolas" w:hAnsi="Consolas"/>
          <w:color w:val="333333"/>
          <w:sz w:val="20"/>
        </w:rPr>
        <w:t>cd casecore-runtime/apps/api</w:t>
      </w:r>
    </w:p>
    <w:p>
      <w:pPr>
        <w:shd w:fill="F0F0F0" w:val="clear"/>
        <w:spacing w:before="40" w:after="40"/>
        <w:ind w:left="576"/>
      </w:pPr>
      <w:r>
        <w:rPr>
          <w:rFonts w:ascii="Consolas" w:hAnsi="Consolas"/>
          <w:color w:val="333333"/>
          <w:sz w:val="20"/>
        </w:rPr>
        <w:t>pip install -r requirements.txt</w:t>
      </w:r>
    </w:p>
    <w:p>
      <w:pPr>
        <w:pStyle w:val="Heading2"/>
      </w:pPr>
      <w:r>
        <w:t>3.2 File Location</w:t>
      </w:r>
    </w:p>
    <w:p>
      <w:r>
        <w:rPr>
          <w:rFonts w:ascii="Arial" w:hAnsi="Arial"/>
        </w:rPr>
        <w:t>All commands below should be run from:</w:t>
      </w:r>
    </w:p>
    <w:p>
      <w:pPr>
        <w:shd w:fill="F0F0F0" w:val="clear"/>
        <w:spacing w:before="40" w:after="40"/>
        <w:ind w:left="576"/>
      </w:pPr>
      <w:r>
        <w:rPr>
          <w:rFonts w:ascii="Consolas" w:hAnsi="Consolas"/>
          <w:color w:val="333333"/>
          <w:sz w:val="20"/>
        </w:rPr>
        <w:t>casecore-runtime/apps/api/</w:t>
      </w:r>
    </w:p>
    <w:p>
      <w:r>
        <w:br w:type="page"/>
      </w:r>
    </w:p>
    <w:p>
      <w:pPr>
        <w:pStyle w:val="Heading1"/>
      </w:pPr>
      <w:r>
        <w:t>4. Sandbox Operations</w:t>
      </w:r>
    </w:p>
    <w:p>
      <w:r>
        <w:rPr>
          <w:rFonts w:ascii="Arial" w:hAnsi="Arial"/>
        </w:rPr>
        <w:t>The sandbox is your playground. Use it to explore CaseCore features, test intake workflows, experiment with evidence uploads, and validate COA matching without any risk to production data.</w:t>
      </w:r>
    </w:p>
    <w:p>
      <w:pPr>
        <w:pStyle w:val="Heading2"/>
      </w:pPr>
      <w:r>
        <w:t>4.1 Launch the Sandbox</w:t>
      </w:r>
    </w:p>
    <w:p>
      <w:pPr>
        <w:shd w:fill="F0F0F0" w:val="clear"/>
        <w:spacing w:before="40" w:after="40"/>
        <w:ind w:left="576"/>
      </w:pPr>
      <w:r>
        <w:rPr>
          <w:rFonts w:ascii="Consolas" w:hAnsi="Consolas"/>
          <w:color w:val="333333"/>
          <w:sz w:val="20"/>
        </w:rPr>
        <w:t>python launch_sandbox.py</w:t>
      </w:r>
    </w:p>
    <w:p>
      <w:r>
        <w:rPr>
          <w:rFonts w:ascii="Arial" w:hAnsi="Arial"/>
        </w:rPr>
        <w:t>This starts the Intake Engine on port 8000. Open your browser to:</w:t>
      </w:r>
    </w:p>
    <w:p>
      <w:pPr>
        <w:pStyle w:val="ListBullet"/>
      </w:pPr>
      <w:r>
        <w:rPr>
          <w:rFonts w:ascii="Arial" w:hAnsi="Arial"/>
          <w:b/>
          <w:sz w:val="22"/>
        </w:rPr>
        <w:t xml:space="preserve">Demo UI: </w:t>
      </w:r>
      <w:r>
        <w:rPr>
          <w:rFonts w:ascii="Arial" w:hAnsi="Arial"/>
          <w:sz w:val="22"/>
        </w:rPr>
        <w:t>http://localhost:8000/intake-demo</w:t>
      </w:r>
    </w:p>
    <w:p>
      <w:pPr>
        <w:pStyle w:val="ListBullet"/>
      </w:pPr>
      <w:r>
        <w:rPr>
          <w:rFonts w:ascii="Arial" w:hAnsi="Arial"/>
          <w:b/>
          <w:sz w:val="22"/>
        </w:rPr>
        <w:t xml:space="preserve">API Docs: </w:t>
      </w:r>
      <w:r>
        <w:rPr>
          <w:rFonts w:ascii="Arial" w:hAnsi="Arial"/>
          <w:sz w:val="22"/>
        </w:rPr>
        <w:t>http://localhost:8000/docs</w:t>
      </w:r>
    </w:p>
    <w:p>
      <w:pPr>
        <w:pStyle w:val="ListBullet"/>
      </w:pPr>
      <w:r>
        <w:rPr>
          <w:rFonts w:ascii="Arial" w:hAnsi="Arial"/>
          <w:b/>
          <w:sz w:val="22"/>
        </w:rPr>
        <w:t xml:space="preserve">Health Check: </w:t>
      </w:r>
      <w:r>
        <w:rPr>
          <w:rFonts w:ascii="Arial" w:hAnsi="Arial"/>
          <w:sz w:val="22"/>
        </w:rPr>
        <w:t>http://localhost:8000/health</w:t>
      </w:r>
    </w:p>
    <w:p>
      <w:pPr>
        <w:pStyle w:val="Heading2"/>
      </w:pPr>
      <w:r>
        <w:t>4.2 Check Sandbox Status</w:t>
      </w:r>
    </w:p>
    <w:p>
      <w:pPr>
        <w:shd w:fill="F0F0F0" w:val="clear"/>
        <w:spacing w:before="40" w:after="40"/>
        <w:ind w:left="576"/>
      </w:pPr>
      <w:r>
        <w:rPr>
          <w:rFonts w:ascii="Consolas" w:hAnsi="Consolas"/>
          <w:color w:val="333333"/>
          <w:sz w:val="20"/>
        </w:rPr>
        <w:t>python launch_sandbox.py --status</w:t>
      </w:r>
    </w:p>
    <w:p>
      <w:r>
        <w:rPr>
          <w:rFonts w:ascii="Arial" w:hAnsi="Arial"/>
        </w:rPr>
        <w:t>Shows a summary of what data currently exists in your sandbox: number of cases, evidence files, interview sessions, agent memory entries, and database size.</w:t>
      </w:r>
    </w:p>
    <w:p>
      <w:pPr>
        <w:pStyle w:val="Heading2"/>
      </w:pPr>
      <w:r>
        <w:t>4.3 Reset the Sandbox (Nuclear Wipe)</w:t>
      </w:r>
    </w:p>
    <w:p>
      <w:pPr>
        <w:shd w:fill="F0F0F0" w:val="clear"/>
        <w:spacing w:before="40" w:after="40"/>
        <w:ind w:left="576"/>
      </w:pPr>
      <w:r>
        <w:rPr>
          <w:rFonts w:ascii="Consolas" w:hAnsi="Consolas"/>
          <w:color w:val="333333"/>
          <w:sz w:val="20"/>
        </w:rPr>
        <w:t>python launch_sandbox.py --reset</w:t>
      </w:r>
    </w:p>
    <w:p>
      <w:pPr>
        <w:pBdr>
          <w:left w:val="single" w:sz="24" w:space="8" w:color="2E75B6"/>
        </w:pBdr>
        <w:spacing w:before="160" w:after="160"/>
        <w:ind w:left="432"/>
      </w:pPr>
      <w:r>
        <w:rPr>
          <w:rFonts w:ascii="Arial" w:hAnsi="Arial"/>
          <w:b/>
          <w:color w:val="2E75B6"/>
          <w:sz w:val="22"/>
        </w:rPr>
        <w:t xml:space="preserve">WARNING: </w:t>
      </w:r>
      <w:r>
        <w:rPr>
          <w:rFonts w:ascii="Arial" w:hAnsi="Arial"/>
          <w:color w:val="333333"/>
          <w:sz w:val="22"/>
        </w:rPr>
        <w:t>This permanently destroys ALL sandbox data including cases, evidence, interview sessions, agent memory, audit logs, and the database. You will be prompted to type RESET to confirm. The canonical legal authority store (statutes, CACI) is not affected.</w:t>
      </w:r>
    </w:p>
    <w:p>
      <w:r>
        <w:rPr>
          <w:rFonts w:ascii="Arial" w:hAnsi="Arial"/>
        </w:rPr>
        <w:t>Use this when you want a completely fresh start, such as after a round of testing or before a new test scenario.</w:t>
      </w:r>
    </w:p>
    <w:p>
      <w:pPr>
        <w:pStyle w:val="Heading2"/>
      </w:pPr>
      <w:r>
        <w:t>4.4 Custom Port</w:t>
      </w:r>
    </w:p>
    <w:p>
      <w:pPr>
        <w:shd w:fill="F0F0F0" w:val="clear"/>
        <w:spacing w:before="40" w:after="40"/>
        <w:ind w:left="576"/>
      </w:pPr>
      <w:r>
        <w:rPr>
          <w:rFonts w:ascii="Consolas" w:hAnsi="Consolas"/>
          <w:color w:val="333333"/>
          <w:sz w:val="20"/>
        </w:rPr>
        <w:t>python launch_sandbox.py --port 9000</w:t>
      </w:r>
    </w:p>
    <w:p>
      <w:r>
        <w:rPr>
          <w:rFonts w:ascii="Arial" w:hAnsi="Arial"/>
        </w:rPr>
        <w:t>Runs the sandbox on port 9000 instead of the default 8000.</w:t>
      </w:r>
    </w:p>
    <w:p>
      <w:r>
        <w:br w:type="page"/>
      </w:r>
    </w:p>
    <w:p>
      <w:pPr>
        <w:pStyle w:val="Heading1"/>
      </w:pPr>
      <w:r>
        <w:t>5. Production Operations</w:t>
      </w:r>
    </w:p>
    <w:p>
      <w:r>
        <w:rPr>
          <w:rFonts w:ascii="Arial" w:hAnsi="Arial"/>
        </w:rPr>
        <w:t>Production is the pristine environment for real case work. It enforces strict safeguards.</w:t>
      </w:r>
    </w:p>
    <w:p>
      <w:pPr>
        <w:pStyle w:val="Heading2"/>
      </w:pPr>
      <w:r>
        <w:t>5.1 Launch Production</w:t>
      </w:r>
    </w:p>
    <w:p>
      <w:pPr>
        <w:shd w:fill="F0F0F0" w:val="clear"/>
        <w:spacing w:before="40" w:after="40"/>
        <w:ind w:left="576"/>
      </w:pPr>
      <w:r>
        <w:rPr>
          <w:rFonts w:ascii="Consolas" w:hAnsi="Consolas"/>
          <w:color w:val="333333"/>
          <w:sz w:val="20"/>
        </w:rPr>
        <w:t>python launch_production.py</w:t>
      </w:r>
    </w:p>
    <w:p>
      <w:r>
        <w:rPr>
          <w:rFonts w:ascii="Arial" w:hAnsi="Arial"/>
        </w:rPr>
        <w:t>The production launcher runs a pre-flight check before starting:</w:t>
      </w:r>
    </w:p>
    <w:p>
      <w:pPr>
        <w:pStyle w:val="ListNumber"/>
      </w:pPr>
      <w:r>
        <w:rPr>
          <w:rFonts w:ascii="Arial" w:hAnsi="Arial"/>
          <w:b/>
        </w:rPr>
        <w:t>Clean state verification</w:t>
      </w:r>
      <w:r>
        <w:rPr>
          <w:rFonts w:ascii="Arial" w:hAnsi="Arial"/>
        </w:rPr>
        <w:t xml:space="preserve"> — confirms no stale data exists in production directories</w:t>
      </w:r>
    </w:p>
    <w:p>
      <w:pPr>
        <w:pStyle w:val="ListNumber"/>
      </w:pPr>
      <w:r>
        <w:rPr>
          <w:rFonts w:ascii="Arial" w:hAnsi="Arial"/>
          <w:b/>
        </w:rPr>
        <w:t>API key validation</w:t>
      </w:r>
      <w:r>
        <w:rPr>
          <w:rFonts w:ascii="Arial" w:hAnsi="Arial"/>
        </w:rPr>
        <w:t xml:space="preserve"> — both ANTHROPIC_API_KEY and OPENAI_API_KEY must be real keys</w:t>
      </w:r>
    </w:p>
    <w:p>
      <w:pPr>
        <w:pStyle w:val="ListNumber"/>
      </w:pPr>
      <w:r>
        <w:rPr>
          <w:rFonts w:ascii="Arial" w:hAnsi="Arial"/>
          <w:b/>
        </w:rPr>
        <w:t>Directory creation</w:t>
      </w:r>
      <w:r>
        <w:rPr>
          <w:rFonts w:ascii="Arial" w:hAnsi="Arial"/>
        </w:rPr>
        <w:t xml:space="preserve"> — ensures all required folders exist</w:t>
      </w:r>
    </w:p>
    <w:p>
      <w:pPr>
        <w:pStyle w:val="ListNumber"/>
      </w:pPr>
      <w:r>
        <w:rPr>
          <w:rFonts w:ascii="Arial" w:hAnsi="Arial"/>
          <w:b/>
        </w:rPr>
        <w:t>Server launch</w:t>
      </w:r>
      <w:r>
        <w:rPr>
          <w:rFonts w:ascii="Arial" w:hAnsi="Arial"/>
        </w:rPr>
        <w:t xml:space="preserve"> — starts on port 8080 (separate from sandbox on 8000)</w:t>
      </w:r>
    </w:p>
    <w:p>
      <w:r>
        <w:rPr>
          <w:rFonts w:ascii="Arial" w:hAnsi="Arial"/>
        </w:rPr>
        <w:t>If the pre-flight check finds existing data, it will warn you and ask for confirmation before proceeding.</w:t>
      </w:r>
    </w:p>
    <w:p>
      <w:pPr>
        <w:pStyle w:val="Heading2"/>
      </w:pPr>
      <w:r>
        <w:t>5.2 Verify Without Launching</w:t>
      </w:r>
    </w:p>
    <w:p>
      <w:pPr>
        <w:shd w:fill="F0F0F0" w:val="clear"/>
        <w:spacing w:before="40" w:after="40"/>
        <w:ind w:left="576"/>
      </w:pPr>
      <w:r>
        <w:rPr>
          <w:rFonts w:ascii="Consolas" w:hAnsi="Consolas"/>
          <w:color w:val="333333"/>
          <w:sz w:val="20"/>
        </w:rPr>
        <w:t>python launch_production.py --verify-only</w:t>
      </w:r>
    </w:p>
    <w:p>
      <w:r>
        <w:rPr>
          <w:rFonts w:ascii="Arial" w:hAnsi="Arial"/>
        </w:rPr>
        <w:t>Runs the pre-flight check and reports results without starting the server.</w:t>
      </w:r>
    </w:p>
    <w:p>
      <w:pPr>
        <w:pStyle w:val="Heading2"/>
      </w:pPr>
      <w:r>
        <w:t>5.3 Custom Port</w:t>
      </w:r>
    </w:p>
    <w:p>
      <w:pPr>
        <w:shd w:fill="F0F0F0" w:val="clear"/>
        <w:spacing w:before="40" w:after="40"/>
        <w:ind w:left="576"/>
      </w:pPr>
      <w:r>
        <w:rPr>
          <w:rFonts w:ascii="Consolas" w:hAnsi="Consolas"/>
          <w:color w:val="333333"/>
          <w:sz w:val="20"/>
        </w:rPr>
        <w:t>python launch_production.py --port 8443</w:t>
      </w:r>
    </w:p>
    <w:p>
      <w:r>
        <w:br w:type="page"/>
      </w:r>
    </w:p>
    <w:p>
      <w:pPr>
        <w:pStyle w:val="Heading1"/>
      </w:pPr>
      <w:r>
        <w:t>6. The Intake Workflow</w:t>
      </w:r>
    </w:p>
    <w:p>
      <w:r>
        <w:rPr>
          <w:rFonts w:ascii="Arial" w:hAnsi="Arial"/>
        </w:rPr>
        <w:t>The Intake Engine guides cases through a structured process from initial narrative to a fully mapped case foundation.</w:t>
      </w:r>
    </w:p>
    <w:p>
      <w:pPr>
        <w:pStyle w:val="Heading2"/>
      </w:pPr>
      <w:r>
        <w:t>6.1 Start Intake with Narrative</w:t>
      </w:r>
    </w:p>
    <w:p>
      <w:r>
        <w:rPr>
          <w:rFonts w:ascii="Arial" w:hAnsi="Arial"/>
        </w:rPr>
        <w:t>The client or attorney provides an initial narrative describing the case. This can be entered as text or recorded as audio (speech-to-text via Whisper). The system then:</w:t>
      </w:r>
    </w:p>
    <w:p>
      <w:pPr>
        <w:pStyle w:val="ListNumber"/>
        <w:numPr>
          <w:ilvl w:val="0"/>
          <w:numId w:val="10"/>
        </w:numPr>
      </w:pPr>
      <w:r>
        <w:rPr>
          <w:rFonts w:ascii="Arial" w:hAnsi="Arial"/>
        </w:rPr>
        <w:t>Captures and preserves the original narrative (immutable record)</w:t>
      </w:r>
    </w:p>
    <w:p>
      <w:pPr>
        <w:pStyle w:val="ListNumber"/>
      </w:pPr>
      <w:r>
        <w:rPr>
          <w:rFonts w:ascii="Arial" w:hAnsi="Arial"/>
        </w:rPr>
        <w:t>Parses the narrative using AI to extract parties, events, relationships, and timeline</w:t>
      </w:r>
    </w:p>
    <w:p>
      <w:pPr>
        <w:pStyle w:val="ListNumber"/>
      </w:pPr>
      <w:r>
        <w:rPr>
          <w:rFonts w:ascii="Arial" w:hAnsi="Arial"/>
        </w:rPr>
        <w:t>Matches against CACI jury instructions to identify candidate Causes of Action</w:t>
      </w:r>
    </w:p>
    <w:p>
      <w:pPr>
        <w:pStyle w:val="ListNumber"/>
      </w:pPr>
      <w:r>
        <w:rPr>
          <w:rFonts w:ascii="Arial" w:hAnsi="Arial"/>
        </w:rPr>
        <w:t>Maps burden elements for each COA and generates legally-targeted follow-up questions</w:t>
      </w:r>
    </w:p>
    <w:p>
      <w:pPr>
        <w:pStyle w:val="Heading2"/>
      </w:pPr>
      <w:r>
        <w:t>6.2 Interview and Refine</w:t>
      </w:r>
    </w:p>
    <w:p>
      <w:r>
        <w:rPr>
          <w:rFonts w:ascii="Arial" w:hAnsi="Arial"/>
        </w:rPr>
        <w:t>The AI Interview Agent conducts a structured conversation to fill gaps in the case. Each response from the client or attorney is analyzed to:</w:t>
      </w:r>
    </w:p>
    <w:p>
      <w:pPr>
        <w:pStyle w:val="ListBullet"/>
      </w:pPr>
      <w:r>
        <w:rPr>
          <w:rFonts w:ascii="Arial" w:hAnsi="Arial"/>
          <w:sz w:val="22"/>
        </w:rPr>
        <w:t>Update the structured intake model with new facts</w:t>
      </w:r>
    </w:p>
    <w:p>
      <w:pPr>
        <w:pStyle w:val="ListBullet"/>
      </w:pPr>
      <w:r>
        <w:rPr>
          <w:rFonts w:ascii="Arial" w:hAnsi="Arial"/>
          <w:sz w:val="22"/>
        </w:rPr>
        <w:t>Map new information to specific burden elements</w:t>
      </w:r>
    </w:p>
    <w:p>
      <w:pPr>
        <w:pStyle w:val="ListBullet"/>
      </w:pPr>
      <w:r>
        <w:rPr>
          <w:rFonts w:ascii="Arial" w:hAnsi="Arial"/>
          <w:sz w:val="22"/>
        </w:rPr>
        <w:t>Score evidence strength per element (Strong, Moderate, Weak, Gap, Contradicted)</w:t>
      </w:r>
    </w:p>
    <w:p>
      <w:pPr>
        <w:pStyle w:val="ListBullet"/>
      </w:pPr>
      <w:r>
        <w:rPr>
          <w:rFonts w:ascii="Arial" w:hAnsi="Arial"/>
          <w:sz w:val="22"/>
        </w:rPr>
        <w:t>Generate new questions targeting remaining gaps</w:t>
      </w:r>
    </w:p>
    <w:p>
      <w:pPr>
        <w:pStyle w:val="Heading2"/>
      </w:pPr>
      <w:r>
        <w:t>6.3 Upload Evidence</w:t>
      </w:r>
    </w:p>
    <w:p>
      <w:r>
        <w:rPr>
          <w:rFonts w:ascii="Arial" w:hAnsi="Arial"/>
        </w:rPr>
        <w:t>Evidence files can be uploaded at any point during intake. The system supports documents (PDF, DOCX, TXT), images, audio, video, spreadsheets, and email files. Each piece of evidence goes through:</w:t>
      </w:r>
    </w:p>
    <w:p>
      <w:pPr>
        <w:pStyle w:val="ListBullet"/>
      </w:pPr>
      <w:r>
        <w:rPr>
          <w:rFonts w:ascii="Arial" w:hAnsi="Arial"/>
          <w:b/>
          <w:sz w:val="22"/>
        </w:rPr>
        <w:t>HASH</w:t>
      </w:r>
      <w:r>
        <w:rPr>
          <w:rFonts w:ascii="Arial" w:hAnsi="Arial"/>
          <w:sz w:val="22"/>
        </w:rPr>
        <w:t xml:space="preserve"> — SHA-256 fingerprint for chain of custody</w:t>
      </w:r>
    </w:p>
    <w:p>
      <w:pPr>
        <w:pStyle w:val="ListBullet"/>
      </w:pPr>
      <w:r>
        <w:rPr>
          <w:rFonts w:ascii="Arial" w:hAnsi="Arial"/>
          <w:b/>
          <w:sz w:val="22"/>
        </w:rPr>
        <w:t>CLASSIFY</w:t>
      </w:r>
      <w:r>
        <w:rPr>
          <w:rFonts w:ascii="Arial" w:hAnsi="Arial"/>
          <w:sz w:val="22"/>
        </w:rPr>
        <w:t xml:space="preserve"> — automatic file type and content classification</w:t>
      </w:r>
    </w:p>
    <w:p>
      <w:pPr>
        <w:pStyle w:val="ListBullet"/>
      </w:pPr>
      <w:r>
        <w:rPr>
          <w:rFonts w:ascii="Arial" w:hAnsi="Arial"/>
          <w:b/>
          <w:sz w:val="22"/>
        </w:rPr>
        <w:t>EXTRACT</w:t>
      </w:r>
      <w:r>
        <w:rPr>
          <w:rFonts w:ascii="Arial" w:hAnsi="Arial"/>
          <w:sz w:val="22"/>
        </w:rPr>
        <w:t xml:space="preserve"> — text extraction (OCR for images, transcription for audio/video)</w:t>
      </w:r>
    </w:p>
    <w:p>
      <w:pPr>
        <w:pStyle w:val="ListBullet"/>
      </w:pPr>
      <w:r>
        <w:rPr>
          <w:rFonts w:ascii="Arial" w:hAnsi="Arial"/>
          <w:b/>
          <w:sz w:val="22"/>
        </w:rPr>
        <w:t>TIMELINE</w:t>
      </w:r>
      <w:r>
        <w:rPr>
          <w:rFonts w:ascii="Arial" w:hAnsi="Arial"/>
          <w:sz w:val="22"/>
        </w:rPr>
        <w:t xml:space="preserve"> — date identification and chronological tagging</w:t>
      </w:r>
    </w:p>
    <w:p>
      <w:pPr>
        <w:pStyle w:val="ListBullet"/>
      </w:pPr>
      <w:r>
        <w:rPr>
          <w:rFonts w:ascii="Arial" w:hAnsi="Arial"/>
          <w:b/>
          <w:sz w:val="22"/>
        </w:rPr>
        <w:t>MAP</w:t>
      </w:r>
      <w:r>
        <w:rPr>
          <w:rFonts w:ascii="Arial" w:hAnsi="Arial"/>
          <w:sz w:val="22"/>
        </w:rPr>
        <w:t xml:space="preserve"> — automated mapping to COA burden elements</w:t>
      </w:r>
    </w:p>
    <w:p>
      <w:pPr>
        <w:pStyle w:val="Heading2"/>
      </w:pPr>
      <w:r>
        <w:t>6.4 Review COA Scorecard</w:t>
      </w:r>
    </w:p>
    <w:p>
      <w:r>
        <w:rPr>
          <w:rFonts w:ascii="Arial" w:hAnsi="Arial"/>
        </w:rPr>
        <w:t>At any point during intake, review the COA Assessment to see viability scores for each Cause of Action, element-level evidence strength, and gap analysis. The scorecard shows which elements are well-supported and which need more evidence or testimony.</w:t>
      </w:r>
    </w:p>
    <w:p>
      <w:pPr>
        <w:pStyle w:val="Heading2"/>
      </w:pPr>
      <w:r>
        <w:t>6.5 Complete Intake</w:t>
      </w:r>
    </w:p>
    <w:p>
      <w:r>
        <w:rPr>
          <w:rFonts w:ascii="Arial" w:hAnsi="Arial"/>
        </w:rPr>
        <w:t>When the attorney determines sufficient information has been gathered, complete the intake. If critical gaps remain (elements with no evidence), the system escalates rather than completing, ensuring nothing falls through the cracks. A full audit trail is preserved from the moment intake began.</w:t>
      </w:r>
    </w:p>
    <w:p>
      <w:r>
        <w:br w:type="page"/>
      </w:r>
    </w:p>
    <w:p>
      <w:pPr>
        <w:pStyle w:val="Heading1"/>
      </w:pPr>
      <w:r>
        <w:t>7. Using the Demo UI</w:t>
      </w:r>
    </w:p>
    <w:p>
      <w:r>
        <w:rPr>
          <w:rFonts w:ascii="Arial" w:hAnsi="Arial"/>
        </w:rPr>
        <w:t>The Demo UI (available at /intake-demo when the server is running) provides a three-column interface:</w:t>
      </w:r>
    </w:p>
    <w:p>
      <w:pPr>
        <w:pStyle w:val="Heading2"/>
      </w:pPr>
      <w:r>
        <w:t>7.1 Left Panel: Narrative Intake</w:t>
      </w:r>
    </w:p>
    <w:p>
      <w:r>
        <w:rPr>
          <w:rFonts w:ascii="Arial" w:hAnsi="Arial"/>
        </w:rPr>
        <w:t>Enter the client narrative as text, record audio directly from your microphone, or upload an audio file. The narrative is sent to the AI for parsing and COA matching.</w:t>
      </w:r>
    </w:p>
    <w:p>
      <w:pPr>
        <w:pStyle w:val="Heading2"/>
      </w:pPr>
      <w:r>
        <w:t>7.2 Center Panel: Interview Session</w:t>
      </w:r>
    </w:p>
    <w:p>
      <w:r>
        <w:rPr>
          <w:rFonts w:ascii="Arial" w:hAnsi="Arial"/>
        </w:rPr>
        <w:t>Once intake starts, the AI Interview Agent asks targeted questions based on identified burden gaps. Type responses or record audio. Each exchange refines the case model and updates the scorecard in real time.</w:t>
      </w:r>
    </w:p>
    <w:p>
      <w:pPr>
        <w:pStyle w:val="Heading2"/>
      </w:pPr>
      <w:r>
        <w:t>7.3 Right Panel: COA Scorecard</w:t>
      </w:r>
    </w:p>
    <w:p>
      <w:r>
        <w:rPr>
          <w:rFonts w:ascii="Arial" w:hAnsi="Arial"/>
        </w:rPr>
        <w:t>Displays all matched Causes of Action with viability percentages, element-level strength indicators, and gap counts. Use this to assess case strength at a glance and determine where more evidence is needed.</w:t>
      </w:r>
    </w:p>
    <w:p>
      <w:pPr>
        <w:pStyle w:val="Heading2"/>
      </w:pPr>
      <w:r>
        <w:t>7.4 Evidence Upload</w:t>
      </w:r>
    </w:p>
    <w:p>
      <w:r>
        <w:rPr>
          <w:rFonts w:ascii="Arial" w:hAnsi="Arial"/>
        </w:rPr>
        <w:t>Drag and drop files or use the file picker to upload evidence. Supported formats include PDF, DOCX, images (PNG, JPG), audio (MP3, WAV, M4A), video (MP4, MOV), spreadsheets (XLSX, CSV), and email files (.eml).</w:t>
      </w:r>
    </w:p>
    <w:p>
      <w:r>
        <w:br w:type="page"/>
      </w:r>
    </w:p>
    <w:p>
      <w:pPr>
        <w:pStyle w:val="Heading1"/>
      </w:pPr>
      <w:r>
        <w:t>8. API Endpoints Quick Reference</w:t>
      </w:r>
    </w:p>
    <w:p>
      <w:r>
        <w:rPr>
          <w:rFonts w:ascii="Arial" w:hAnsi="Arial"/>
        </w:rPr>
        <w:t>All endpoints are prefixed with /api/v1/cases/{case_id}/intake. Full interactive documentation is available at /docs when the server is running.</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val="clear"/>
          </w:tcPr>
          <w:p>
            <w:r/>
            <w:r>
              <w:rPr>
                <w:rFonts w:ascii="Arial" w:hAnsi="Arial"/>
                <w:b/>
                <w:color w:val="FFFFFF"/>
                <w:sz w:val="20"/>
              </w:rPr>
              <w:t>Method</w:t>
            </w:r>
          </w:p>
        </w:tc>
        <w:tc>
          <w:tcPr>
            <w:tcW w:type="dxa" w:w="3168"/>
            <w:shd w:fill="1B3A5C" w:val="clear"/>
          </w:tcPr>
          <w:p>
            <w:r/>
            <w:r>
              <w:rPr>
                <w:rFonts w:ascii="Arial" w:hAnsi="Arial"/>
                <w:b/>
                <w:color w:val="FFFFFF"/>
                <w:sz w:val="20"/>
              </w:rPr>
              <w:t>Endpoint</w:t>
            </w:r>
          </w:p>
        </w:tc>
        <w:tc>
          <w:tcPr>
            <w:tcW w:type="dxa" w:w="5040"/>
            <w:shd w:fill="1B3A5C" w:val="clear"/>
          </w:tcPr>
          <w:p>
            <w:r/>
            <w:r>
              <w:rPr>
                <w:rFonts w:ascii="Arial" w:hAnsi="Arial"/>
                <w:b/>
                <w:color w:val="FFFFFF"/>
                <w:sz w:val="20"/>
              </w:rPr>
              <w:t>Description</w:t>
            </w:r>
          </w:p>
        </w:tc>
      </w:tr>
      <w:tr>
        <w:tc>
          <w:tcPr>
            <w:tcW w:type="dxa" w:w="1152"/>
            <w:shd w:fill="E8F0F8" w:val="clear"/>
          </w:tcPr>
          <w:p>
            <w:r/>
            <w:r>
              <w:rPr>
                <w:rFonts w:ascii="Arial" w:hAnsi="Arial"/>
                <w:sz w:val="20"/>
              </w:rPr>
              <w:t>POST</w:t>
            </w:r>
          </w:p>
        </w:tc>
        <w:tc>
          <w:tcPr>
            <w:tcW w:type="dxa" w:w="3168"/>
            <w:shd w:fill="E8F0F8" w:val="clear"/>
          </w:tcPr>
          <w:p>
            <w:r/>
            <w:r>
              <w:rPr>
                <w:rFonts w:ascii="Arial" w:hAnsi="Arial"/>
                <w:sz w:val="20"/>
              </w:rPr>
              <w:t>/start</w:t>
            </w:r>
          </w:p>
        </w:tc>
        <w:tc>
          <w:tcPr>
            <w:tcW w:type="dxa" w:w="5040"/>
            <w:shd w:fill="E8F0F8" w:val="clear"/>
          </w:tcPr>
          <w:p>
            <w:r/>
            <w:r>
              <w:rPr>
                <w:rFonts w:ascii="Arial" w:hAnsi="Arial"/>
                <w:sz w:val="20"/>
              </w:rPr>
              <w:t>Begin intake with narrative text</w:t>
            </w:r>
          </w:p>
        </w:tc>
      </w:tr>
      <w:tr>
        <w:tc>
          <w:tcPr>
            <w:tcW w:type="dxa" w:w="1152"/>
            <w:shd w:fill="FFFFFF" w:val="clear"/>
          </w:tcPr>
          <w:p>
            <w:r/>
            <w:r>
              <w:rPr>
                <w:rFonts w:ascii="Arial" w:hAnsi="Arial"/>
                <w:sz w:val="20"/>
              </w:rPr>
              <w:t>POST</w:t>
            </w:r>
          </w:p>
        </w:tc>
        <w:tc>
          <w:tcPr>
            <w:tcW w:type="dxa" w:w="3168"/>
            <w:shd w:fill="FFFFFF" w:val="clear"/>
          </w:tcPr>
          <w:p>
            <w:r/>
            <w:r>
              <w:rPr>
                <w:rFonts w:ascii="Arial" w:hAnsi="Arial"/>
                <w:sz w:val="20"/>
              </w:rPr>
              <w:t>/respond</w:t>
            </w:r>
          </w:p>
        </w:tc>
        <w:tc>
          <w:tcPr>
            <w:tcW w:type="dxa" w:w="5040"/>
            <w:shd w:fill="FFFFFF" w:val="clear"/>
          </w:tcPr>
          <w:p>
            <w:r/>
            <w:r>
              <w:rPr>
                <w:rFonts w:ascii="Arial" w:hAnsi="Arial"/>
                <w:sz w:val="20"/>
              </w:rPr>
              <w:t>Submit interview response, refine model</w:t>
            </w:r>
          </w:p>
        </w:tc>
      </w:tr>
      <w:tr>
        <w:tc>
          <w:tcPr>
            <w:tcW w:type="dxa" w:w="1152"/>
            <w:shd w:fill="E8F0F8" w:val="clear"/>
          </w:tcPr>
          <w:p>
            <w:r/>
            <w:r>
              <w:rPr>
                <w:rFonts w:ascii="Arial" w:hAnsi="Arial"/>
                <w:sz w:val="20"/>
              </w:rPr>
              <w:t>POST</w:t>
            </w:r>
          </w:p>
        </w:tc>
        <w:tc>
          <w:tcPr>
            <w:tcW w:type="dxa" w:w="3168"/>
            <w:shd w:fill="E8F0F8" w:val="clear"/>
          </w:tcPr>
          <w:p>
            <w:r/>
            <w:r>
              <w:rPr>
                <w:rFonts w:ascii="Arial" w:hAnsi="Arial"/>
                <w:sz w:val="20"/>
              </w:rPr>
              <w:t>/audio</w:t>
            </w:r>
          </w:p>
        </w:tc>
        <w:tc>
          <w:tcPr>
            <w:tcW w:type="dxa" w:w="5040"/>
            <w:shd w:fill="E8F0F8" w:val="clear"/>
          </w:tcPr>
          <w:p>
            <w:r/>
            <w:r>
              <w:rPr>
                <w:rFonts w:ascii="Arial" w:hAnsi="Arial"/>
                <w:sz w:val="20"/>
              </w:rPr>
              <w:t>Upload audio file for transcription + intake</w:t>
            </w:r>
          </w:p>
        </w:tc>
      </w:tr>
      <w:tr>
        <w:tc>
          <w:tcPr>
            <w:tcW w:type="dxa" w:w="1152"/>
            <w:shd w:fill="FFFFFF" w:val="clear"/>
          </w:tcPr>
          <w:p>
            <w:r/>
            <w:r>
              <w:rPr>
                <w:rFonts w:ascii="Arial" w:hAnsi="Arial"/>
                <w:sz w:val="20"/>
              </w:rPr>
              <w:t>POST</w:t>
            </w:r>
          </w:p>
        </w:tc>
        <w:tc>
          <w:tcPr>
            <w:tcW w:type="dxa" w:w="3168"/>
            <w:shd w:fill="FFFFFF" w:val="clear"/>
          </w:tcPr>
          <w:p>
            <w:r/>
            <w:r>
              <w:rPr>
                <w:rFonts w:ascii="Arial" w:hAnsi="Arial"/>
                <w:sz w:val="20"/>
              </w:rPr>
              <w:t>/evidence</w:t>
            </w:r>
          </w:p>
        </w:tc>
        <w:tc>
          <w:tcPr>
            <w:tcW w:type="dxa" w:w="5040"/>
            <w:shd w:fill="FFFFFF" w:val="clear"/>
          </w:tcPr>
          <w:p>
            <w:r/>
            <w:r>
              <w:rPr>
                <w:rFonts w:ascii="Arial" w:hAnsi="Arial"/>
                <w:sz w:val="20"/>
              </w:rPr>
              <w:t>Upload evidence file (any supported type)</w:t>
            </w:r>
          </w:p>
        </w:tc>
      </w:tr>
      <w:tr>
        <w:tc>
          <w:tcPr>
            <w:tcW w:type="dxa" w:w="1152"/>
            <w:shd w:fill="E8F0F8" w:val="clear"/>
          </w:tcPr>
          <w:p>
            <w:r/>
            <w:r>
              <w:rPr>
                <w:rFonts w:ascii="Arial" w:hAnsi="Arial"/>
                <w:sz w:val="20"/>
              </w:rPr>
              <w:t>GET</w:t>
            </w:r>
          </w:p>
        </w:tc>
        <w:tc>
          <w:tcPr>
            <w:tcW w:type="dxa" w:w="3168"/>
            <w:shd w:fill="E8F0F8" w:val="clear"/>
          </w:tcPr>
          <w:p>
            <w:r/>
            <w:r>
              <w:rPr>
                <w:rFonts w:ascii="Arial" w:hAnsi="Arial"/>
                <w:sz w:val="20"/>
              </w:rPr>
              <w:t>/</w:t>
            </w:r>
          </w:p>
        </w:tc>
        <w:tc>
          <w:tcPr>
            <w:tcW w:type="dxa" w:w="5040"/>
            <w:shd w:fill="E8F0F8" w:val="clear"/>
          </w:tcPr>
          <w:p>
            <w:r/>
            <w:r>
              <w:rPr>
                <w:rFonts w:ascii="Arial" w:hAnsi="Arial"/>
                <w:sz w:val="20"/>
              </w:rPr>
              <w:t>Get current intake state</w:t>
            </w:r>
          </w:p>
        </w:tc>
      </w:tr>
      <w:tr>
        <w:tc>
          <w:tcPr>
            <w:tcW w:type="dxa" w:w="1152"/>
            <w:shd w:fill="FFFFFF" w:val="clear"/>
          </w:tcPr>
          <w:p>
            <w:r/>
            <w:r>
              <w:rPr>
                <w:rFonts w:ascii="Arial" w:hAnsi="Arial"/>
                <w:sz w:val="20"/>
              </w:rPr>
              <w:t>GET</w:t>
            </w:r>
          </w:p>
        </w:tc>
        <w:tc>
          <w:tcPr>
            <w:tcW w:type="dxa" w:w="3168"/>
            <w:shd w:fill="FFFFFF" w:val="clear"/>
          </w:tcPr>
          <w:p>
            <w:r/>
            <w:r>
              <w:rPr>
                <w:rFonts w:ascii="Arial" w:hAnsi="Arial"/>
                <w:sz w:val="20"/>
              </w:rPr>
              <w:t>/gaps</w:t>
            </w:r>
          </w:p>
        </w:tc>
        <w:tc>
          <w:tcPr>
            <w:tcW w:type="dxa" w:w="5040"/>
            <w:shd w:fill="FFFFFF" w:val="clear"/>
          </w:tcPr>
          <w:p>
            <w:r/>
            <w:r>
              <w:rPr>
                <w:rFonts w:ascii="Arial" w:hAnsi="Arial"/>
                <w:sz w:val="20"/>
              </w:rPr>
              <w:t>View gap summary + suggested questions</w:t>
            </w:r>
          </w:p>
        </w:tc>
      </w:tr>
      <w:tr>
        <w:tc>
          <w:tcPr>
            <w:tcW w:type="dxa" w:w="1152"/>
            <w:shd w:fill="E8F0F8" w:val="clear"/>
          </w:tcPr>
          <w:p>
            <w:r/>
            <w:r>
              <w:rPr>
                <w:rFonts w:ascii="Arial" w:hAnsi="Arial"/>
                <w:sz w:val="20"/>
              </w:rPr>
              <w:t>GET</w:t>
            </w:r>
          </w:p>
        </w:tc>
        <w:tc>
          <w:tcPr>
            <w:tcW w:type="dxa" w:w="3168"/>
            <w:shd w:fill="E8F0F8" w:val="clear"/>
          </w:tcPr>
          <w:p>
            <w:r/>
            <w:r>
              <w:rPr>
                <w:rFonts w:ascii="Arial" w:hAnsi="Arial"/>
                <w:sz w:val="20"/>
              </w:rPr>
              <w:t>/coa</w:t>
            </w:r>
          </w:p>
        </w:tc>
        <w:tc>
          <w:tcPr>
            <w:tcW w:type="dxa" w:w="5040"/>
            <w:shd w:fill="E8F0F8" w:val="clear"/>
          </w:tcPr>
          <w:p>
            <w:r/>
            <w:r>
              <w:rPr>
                <w:rFonts w:ascii="Arial" w:hAnsi="Arial"/>
                <w:sz w:val="20"/>
              </w:rPr>
              <w:t>View COA assessment + burden scorecard</w:t>
            </w:r>
          </w:p>
        </w:tc>
      </w:tr>
      <w:tr>
        <w:tc>
          <w:tcPr>
            <w:tcW w:type="dxa" w:w="1152"/>
            <w:shd w:fill="FFFFFF" w:val="clear"/>
          </w:tcPr>
          <w:p>
            <w:r/>
            <w:r>
              <w:rPr>
                <w:rFonts w:ascii="Arial" w:hAnsi="Arial"/>
                <w:sz w:val="20"/>
              </w:rPr>
              <w:t>GET</w:t>
            </w:r>
          </w:p>
        </w:tc>
        <w:tc>
          <w:tcPr>
            <w:tcW w:type="dxa" w:w="3168"/>
            <w:shd w:fill="FFFFFF" w:val="clear"/>
          </w:tcPr>
          <w:p>
            <w:r/>
            <w:r>
              <w:rPr>
                <w:rFonts w:ascii="Arial" w:hAnsi="Arial"/>
                <w:sz w:val="20"/>
              </w:rPr>
              <w:t>/evidence</w:t>
            </w:r>
          </w:p>
        </w:tc>
        <w:tc>
          <w:tcPr>
            <w:tcW w:type="dxa" w:w="5040"/>
            <w:shd w:fill="FFFFFF" w:val="clear"/>
          </w:tcPr>
          <w:p>
            <w:r/>
            <w:r>
              <w:rPr>
                <w:rFonts w:ascii="Arial" w:hAnsi="Arial"/>
                <w:sz w:val="20"/>
              </w:rPr>
              <w:t>List all ingested evidence for case</w:t>
            </w:r>
          </w:p>
        </w:tc>
      </w:tr>
      <w:tr>
        <w:tc>
          <w:tcPr>
            <w:tcW w:type="dxa" w:w="1152"/>
            <w:shd w:fill="E8F0F8" w:val="clear"/>
          </w:tcPr>
          <w:p>
            <w:r/>
            <w:r>
              <w:rPr>
                <w:rFonts w:ascii="Arial" w:hAnsi="Arial"/>
                <w:sz w:val="20"/>
              </w:rPr>
              <w:t>GET</w:t>
            </w:r>
          </w:p>
        </w:tc>
        <w:tc>
          <w:tcPr>
            <w:tcW w:type="dxa" w:w="3168"/>
            <w:shd w:fill="E8F0F8" w:val="clear"/>
          </w:tcPr>
          <w:p>
            <w:r/>
            <w:r>
              <w:rPr>
                <w:rFonts w:ascii="Arial" w:hAnsi="Arial"/>
                <w:sz w:val="20"/>
              </w:rPr>
              <w:t>/evidence/{id}</w:t>
            </w:r>
          </w:p>
        </w:tc>
        <w:tc>
          <w:tcPr>
            <w:tcW w:type="dxa" w:w="5040"/>
            <w:shd w:fill="E8F0F8" w:val="clear"/>
          </w:tcPr>
          <w:p>
            <w:r/>
            <w:r>
              <w:rPr>
                <w:rFonts w:ascii="Arial" w:hAnsi="Arial"/>
                <w:sz w:val="20"/>
              </w:rPr>
              <w:t>Full evidence record with chain of custody</w:t>
            </w:r>
          </w:p>
        </w:tc>
      </w:tr>
      <w:tr>
        <w:tc>
          <w:tcPr>
            <w:tcW w:type="dxa" w:w="1152"/>
            <w:shd w:fill="FFFFFF" w:val="clear"/>
          </w:tcPr>
          <w:p>
            <w:r/>
            <w:r>
              <w:rPr>
                <w:rFonts w:ascii="Arial" w:hAnsi="Arial"/>
                <w:sz w:val="20"/>
              </w:rPr>
              <w:t>POST</w:t>
            </w:r>
          </w:p>
        </w:tc>
        <w:tc>
          <w:tcPr>
            <w:tcW w:type="dxa" w:w="3168"/>
            <w:shd w:fill="FFFFFF" w:val="clear"/>
          </w:tcPr>
          <w:p>
            <w:r/>
            <w:r>
              <w:rPr>
                <w:rFonts w:ascii="Arial" w:hAnsi="Arial"/>
                <w:sz w:val="20"/>
              </w:rPr>
              <w:t>/complete</w:t>
            </w:r>
          </w:p>
        </w:tc>
        <w:tc>
          <w:tcPr>
            <w:tcW w:type="dxa" w:w="5040"/>
            <w:shd w:fill="FFFFFF" w:val="clear"/>
          </w:tcPr>
          <w:p>
            <w:r/>
            <w:r>
              <w:rPr>
                <w:rFonts w:ascii="Arial" w:hAnsi="Arial"/>
                <w:sz w:val="20"/>
              </w:rPr>
              <w:t>Complete intake (escalates if critical gaps)</w:t>
            </w:r>
          </w:p>
        </w:tc>
      </w:tr>
    </w:tbl>
    <w:p>
      <w:r>
        <w:br w:type="page"/>
      </w:r>
    </w:p>
    <w:p>
      <w:pPr>
        <w:pStyle w:val="Heading1"/>
      </w:pPr>
      <w:r>
        <w:t>9. Governance and Safety</w:t>
      </w:r>
    </w:p>
    <w:p>
      <w:r>
        <w:rPr>
          <w:rFonts w:ascii="Arial" w:hAnsi="Arial"/>
        </w:rPr>
        <w:t>CaseCore enforces several governance safeguards throughout the intake process:</w:t>
      </w:r>
    </w:p>
    <w:p>
      <w:pPr>
        <w:pStyle w:val="ListBullet"/>
      </w:pPr>
      <w:r>
        <w:rPr>
          <w:rFonts w:ascii="Arial" w:hAnsi="Arial"/>
          <w:b/>
          <w:sz w:val="22"/>
        </w:rPr>
        <w:t>Immutable narratives:</w:t>
      </w:r>
      <w:r>
        <w:rPr>
          <w:rFonts w:ascii="Arial" w:hAnsi="Arial"/>
          <w:sz w:val="22"/>
        </w:rPr>
        <w:t xml:space="preserve"> The original client narrative is preserved as-is and never modified. All AI analysis is stored separately.</w:t>
      </w:r>
    </w:p>
    <w:p>
      <w:pPr>
        <w:pStyle w:val="ListBullet"/>
      </w:pPr>
      <w:r>
        <w:rPr>
          <w:rFonts w:ascii="Arial" w:hAnsi="Arial"/>
          <w:b/>
          <w:sz w:val="22"/>
        </w:rPr>
        <w:t>Governance-safe language:</w:t>
      </w:r>
      <w:r>
        <w:rPr>
          <w:rFonts w:ascii="Arial" w:hAnsi="Arial"/>
          <w:sz w:val="22"/>
        </w:rPr>
        <w:t xml:space="preserve"> AI outputs use "alleged," "reported," and "as described by client" language. The AI does not render legal conclusions.</w:t>
      </w:r>
    </w:p>
    <w:p>
      <w:pPr>
        <w:pStyle w:val="ListBullet"/>
      </w:pPr>
      <w:r>
        <w:rPr>
          <w:rFonts w:ascii="Arial" w:hAnsi="Arial"/>
          <w:b/>
          <w:sz w:val="22"/>
        </w:rPr>
        <w:t>Full audit trail:</w:t>
      </w:r>
      <w:r>
        <w:rPr>
          <w:rFonts w:ascii="Arial" w:hAnsi="Arial"/>
          <w:sz w:val="22"/>
        </w:rPr>
        <w:t xml:space="preserve"> Every action is logged with timestamps: intake started, narrative captured, model refined, evidence ingested, intake completed.</w:t>
      </w:r>
    </w:p>
    <w:p>
      <w:pPr>
        <w:pStyle w:val="ListBullet"/>
      </w:pPr>
      <w:r>
        <w:rPr>
          <w:rFonts w:ascii="Arial" w:hAnsi="Arial"/>
          <w:b/>
          <w:sz w:val="22"/>
        </w:rPr>
        <w:t>Chain of custody:</w:t>
      </w:r>
      <w:r>
        <w:rPr>
          <w:rFonts w:ascii="Arial" w:hAnsi="Arial"/>
          <w:sz w:val="22"/>
        </w:rPr>
        <w:t xml:space="preserve"> Every piece of evidence receives a SHA-256 hash upon ingestion with a recorded chain of custody for every subsequent action.</w:t>
      </w:r>
    </w:p>
    <w:p>
      <w:pPr>
        <w:pStyle w:val="ListBullet"/>
      </w:pPr>
      <w:r>
        <w:rPr>
          <w:rFonts w:ascii="Arial" w:hAnsi="Arial"/>
          <w:b/>
          <w:sz w:val="22"/>
        </w:rPr>
        <w:t>Environment isolation:</w:t>
      </w:r>
      <w:r>
        <w:rPr>
          <w:rFonts w:ascii="Arial" w:hAnsi="Arial"/>
          <w:sz w:val="22"/>
        </w:rPr>
        <w:t xml:space="preserve"> Sandbox and production data paths are completely separate. No cross-contamination is architecturally possible.</w:t>
      </w:r>
    </w:p>
    <w:p>
      <w:pPr>
        <w:pStyle w:val="ListBullet"/>
      </w:pPr>
      <w:r>
        <w:rPr>
          <w:rFonts w:ascii="Arial" w:hAnsi="Arial"/>
          <w:b/>
          <w:sz w:val="22"/>
        </w:rPr>
        <w:t>Escalation on gaps:</w:t>
      </w:r>
      <w:r>
        <w:rPr>
          <w:rFonts w:ascii="Arial" w:hAnsi="Arial"/>
          <w:sz w:val="22"/>
        </w:rPr>
        <w:t xml:space="preserve"> If critical burden elements have no supporting evidence when intake is completed, the system escalates rather than silently completing.</w:t>
      </w:r>
    </w:p>
    <w:p>
      <w:r>
        <w:br w:type="page"/>
      </w:r>
    </w:p>
    <w:p>
      <w:pPr>
        <w:pStyle w:val="Heading1"/>
      </w:pPr>
      <w:r>
        <w:t>10. What Comes Next</w:t>
      </w:r>
    </w:p>
    <w:p>
      <w:r>
        <w:rPr>
          <w:rFonts w:ascii="Arial" w:hAnsi="Arial"/>
        </w:rPr>
        <w:t>The Intake Engine builds the case foundation. Once intake is complete, the structured data feeds into downstream CaseCore workflow phases:</w:t>
      </w:r>
    </w:p>
    <w:p>
      <w:pPr>
        <w:pStyle w:val="ListNumber"/>
        <w:numPr>
          <w:ilvl w:val="0"/>
          <w:numId w:val="11"/>
        </w:numPr>
      </w:pPr>
      <w:r>
        <w:rPr>
          <w:rFonts w:ascii="Arial" w:hAnsi="Arial"/>
          <w:b/>
        </w:rPr>
        <w:t>COA Finalization</w:t>
      </w:r>
      <w:r>
        <w:rPr>
          <w:rFonts w:ascii="Arial" w:hAnsi="Arial"/>
        </w:rPr>
        <w:t xml:space="preserve"> — Complaint is hardened with confirmed Causes of Action, burden elements, and remedies. Attorney reviews and approves the AI-assembled case structure.</w:t>
      </w:r>
    </w:p>
    <w:p>
      <w:pPr>
        <w:pStyle w:val="ListNumber"/>
      </w:pPr>
      <w:r>
        <w:rPr>
          <w:rFonts w:ascii="Arial" w:hAnsi="Arial"/>
          <w:b/>
        </w:rPr>
        <w:t>Evidence Mapping</w:t>
      </w:r>
      <w:r>
        <w:rPr>
          <w:rFonts w:ascii="Arial" w:hAnsi="Arial"/>
        </w:rPr>
        <w:t xml:space="preserve"> — All evidence is tagged and mapped to specific complaint elements. Strength and weakness analysis identifies vulnerabilities before opposing counsel does.</w:t>
      </w:r>
    </w:p>
    <w:p>
      <w:pPr>
        <w:pStyle w:val="ListNumber"/>
      </w:pPr>
      <w:r>
        <w:rPr>
          <w:rFonts w:ascii="Arial" w:hAnsi="Arial"/>
          <w:b/>
        </w:rPr>
        <w:t>Discovery</w:t>
      </w:r>
      <w:r>
        <w:rPr>
          <w:rFonts w:ascii="Arial" w:hAnsi="Arial"/>
        </w:rPr>
        <w:t xml:space="preserve"> — AI-assisted generation of interrogatories, requests for production, and pleadings. Strategy planning for depositions with what-if scenario analysis.</w:t>
      </w:r>
    </w:p>
    <w:p>
      <w:pPr>
        <w:pStyle w:val="ListNumber"/>
      </w:pPr>
      <w:r>
        <w:rPr>
          <w:rFonts w:ascii="Arial" w:hAnsi="Arial"/>
          <w:b/>
        </w:rPr>
        <w:t>Trial/Settlement Preparation</w:t>
      </w:r>
      <w:r>
        <w:rPr>
          <w:rFonts w:ascii="Arial" w:hAnsi="Arial"/>
        </w:rPr>
        <w:t xml:space="preserve"> — Full trial preparation support including deposition war-room tools, opposition analysis, and settlement evaluation.</w:t>
      </w:r>
    </w:p>
    <w:p>
      <w:pPr>
        <w:spacing w:before="240"/>
      </w:pPr>
      <w:r>
        <w:rPr>
          <w:rFonts w:ascii="Arial" w:hAnsi="Arial"/>
        </w:rPr>
        <w:t>These downstream phases will be developed iteratively. Your feedback during sandbox testing directly shapes how each phase is built.</w:t>
      </w:r>
    </w:p>
    <w:p>
      <w:pPr>
        <w:pStyle w:val="Heading1"/>
      </w:pPr>
      <w:r>
        <w:t>11. Providing Feedback</w:t>
      </w:r>
    </w:p>
    <w:p>
      <w:r>
        <w:rPr>
          <w:rFonts w:ascii="Arial" w:hAnsi="Arial"/>
        </w:rPr>
        <w:t>As you test the Intake Engine in sandbox mode, please note:</w:t>
      </w:r>
    </w:p>
    <w:p>
      <w:pPr>
        <w:pStyle w:val="ListBullet"/>
      </w:pPr>
      <w:r>
        <w:rPr>
          <w:rFonts w:ascii="Arial" w:hAnsi="Arial"/>
          <w:sz w:val="22"/>
        </w:rPr>
        <w:t>What worked well and felt intuitive</w:t>
      </w:r>
    </w:p>
    <w:p>
      <w:pPr>
        <w:pStyle w:val="ListBullet"/>
      </w:pPr>
      <w:r>
        <w:rPr>
          <w:rFonts w:ascii="Arial" w:hAnsi="Arial"/>
          <w:sz w:val="22"/>
        </w:rPr>
        <w:t>Where the AI questions missed the mark or felt off-topic</w:t>
      </w:r>
    </w:p>
    <w:p>
      <w:pPr>
        <w:pStyle w:val="ListBullet"/>
      </w:pPr>
      <w:r>
        <w:rPr>
          <w:rFonts w:ascii="Arial" w:hAnsi="Arial"/>
          <w:sz w:val="22"/>
        </w:rPr>
        <w:t>COA matches that were incorrect, missing, or surprising</w:t>
      </w:r>
    </w:p>
    <w:p>
      <w:pPr>
        <w:pStyle w:val="ListBullet"/>
      </w:pPr>
      <w:r>
        <w:rPr>
          <w:rFonts w:ascii="Arial" w:hAnsi="Arial"/>
          <w:sz w:val="22"/>
        </w:rPr>
        <w:t>Evidence types that failed to process or were misclassified</w:t>
      </w:r>
    </w:p>
    <w:p>
      <w:pPr>
        <w:pStyle w:val="ListBullet"/>
      </w:pPr>
      <w:r>
        <w:rPr>
          <w:rFonts w:ascii="Arial" w:hAnsi="Arial"/>
          <w:sz w:val="22"/>
        </w:rPr>
        <w:t>Any workflow friction or confusing steps</w:t>
      </w:r>
    </w:p>
    <w:p>
      <w:pPr>
        <w:pStyle w:val="ListBullet"/>
      </w:pPr>
      <w:r>
        <w:rPr>
          <w:rFonts w:ascii="Arial" w:hAnsi="Arial"/>
          <w:sz w:val="22"/>
        </w:rPr>
        <w:t>Features you expected but did not find</w:t>
      </w:r>
    </w:p>
    <w:p>
      <w:pPr>
        <w:spacing w:before="240"/>
      </w:pPr>
      <w:r>
        <w:rPr>
          <w:rFonts w:ascii="Arial" w:hAnsi="Arial"/>
          <w:i/>
          <w:color w:val="666666"/>
        </w:rPr>
        <w:t>Your feedback is essential to perfecting this platform before production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