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June 25, 2026  22:35</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are not enough to generate compute exports. Hardware amortization accounts for roughly 90 percent of unit cost and is priced globally, leaving a cross-country cost spread of only 12–20 percent—narrow enough for institutional frictions to dominate. Under cost-recovery pricing, several developing countries rank among the lowest-cost producers. But once bilateral sovereignty frictions are included, trust deficits with OECD buyers eliminate nearly all of their export potential. The cost of capital further erodes competitiveness: a 10-percentage-point WACC gap between OECD hyperscalers at 8 percent and locally financed developing-country operators at 18 percent adds about $0.29 per GPU-hour to unit cost. That is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is capital- and energy-intensive, so the likely exporters are energy-rich rather than labor-abundant countries. A more important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advantages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cloud market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economies of scale and self-reinforcing colocation dynamics that the competitive framework abstracts away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the prices are obtained from national regulator tariff sheets and secondary sources, including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percent upper bound for regulatory barriers to communication services estimated by </w:t>
      </w:r>
      <w:bookmarkStart w:id="227" w:name="BenzJaax2020txt"/>
      <w:hyperlink w:anchor="BenzJaax2020" w:history="1">
        <w:r>
          <w:rPr>
            <w:color w:val="1F3864"/>
            <w:u w:val="single"/>
          </w:rPr>
          <w:t xml:space="preserve">Benz and Jaax (2020)</w:t>
        </w:r>
      </w:hyperlink>
      <w:bookmarkEnd w:id="227"/>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between geopolitical allies, consistent with the bilateral sovereignty premium, rather than cost alone driving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confirms that electricity costs are not a robust predictor of data center location once market size and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Evidence on policy readiness points in the same direction.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In the model, institutional quality stands in for the complementary investments that separate these groups: digital skills, regulatory predictability, and grid modernization. Countries that align digital ambitions with energy-sector planning are becoming preferred destinations for hyperscalers. Examples include Malaysia’s National Energy Transition Roadmap, Brazil’s electricity mix of more than 80 percent renewables, and the UAE’s nuclear- and solar-powered AI hubs. These cases fit the model’s emphasis on moderate costs combined with institutional credibility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matters especially for inference. Within Europe, latency adds only 1–3 percent to costs, so even a small domestic preference can shift sourcing away from imports.</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small and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w:t>
      </w:r>
      <w:r>
        <w:t xml:space="preserve">For Germany, France, and the United Kingdom, inference is sourced from Kosovo. </w:t>
      </w:r>
      <w:r>
        <w:t>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depend on whether the sovereignty premium reflects real security concerns or overly broad regulatory restrictions.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The sensitivity results can be read as comparative statics.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is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is standard in services trade, but it simplifies how sovereignty frictions operate. Many sovereignty frictions are closer to fixed entry costs than variable markups. Cloud-security certifications, sanctions screening, export-control compliance, and bilateral digital-services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changes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Column (4) is therefore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weaken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would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would distinguish centralized GPU clusters for training from distributed edge nodes for inference.</w:t>
      </w:r>
    </w:p>
    <w:p>
      <w:pPr>
        <w:pStyle w:val="Heading1"/>
      </w:pPr>
      <w:r>
        <w:rPr>
          <w:rFonts w:ascii="Times New Roman" w:hAnsi="Times New Roman"/>
          <w:b/>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production-cost differences.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a developing country pursuing compute exports, the binding policy levers are mostly outside the power tariff. Financing is the first constraint. Hardware dominates the cost stack, and the WACC gap exceeds the energy advantage several times over. Sovereign guarantees, blended finance, multilateral risk insurance, and hyperscaler co-investment can all narrow that gap more than any feasible reduction in electricity tariffs. Regulatory credibility is the second lever. Data-adequacy status, mutual-recognition agreements, and recognized cloud-security certifications lower the trust premium foreign buyers apply. Broad data-localization mandates raise it and can foreclose export opportunities.</w:t>
      </w:r>
    </w:p>
    <w:p>
      <w:pPr>
        <w:spacing w:before="0" w:after="160" w:line="360" w:lineRule="auto"/>
        <w:ind w:firstLine="0"/>
        <w:jc w:val="both"/>
      </w:pPr>
      <w:r>
        <w:t>The final policy question is surplus capture. The Kyrgyzstan facility in Appendix D is NPV-positive, but under outright foreign-hyperscaler ownership, the host country retains little beyond electricity payments and construction-phase jobs. Taxation, equity participation, and royalty terms determine the share of operating surplus retained domestically. Cheap energy can place a country in the cost-competitive set,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in which imported equipment converts local energy into an exportable digital service with limited domestic labor input. Unlike extractive commodities, however, the input energy can be renewable, and demand for compute is growing faster than demand for most physical commodities. The resource-curse literature still matters because concentrated export revenues can generate exchange-rate pressure, institutional risks, and exposure to demand cycles. Whether compute-exporting countries face those risks will depend on the ownership and fiscal structures they adopt. As bilateral compute-trade data become available, this framework can be estimated directly using gravity-style methods.</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