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v28  —  February 28, 2026  18:46</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a trade model of compute services, distinguishing latency-insensitive training from latency-sensitive inference and incorporating a bilateral sovereignty premium. Calibration across 85 countries shows that several developing countries rank among the cheapest producers under cost-recovery pricing, but bilateral trust deficits sharply curtail developing-country exports: most lose exporter status, and only Kyrgyzstan retains training-export viability among developing nations. Because hardware dominates unit cost, the cross-country cost spread is only 12–20 percent, making compute both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3" w:name="IEA2025txt"/>
      <w:hyperlink w:anchor="IEA2025" w:history="1">
        <w:r>
          <w:rPr>
            <w:color w:val="1F3864"/>
            <w:u w:val="single"/>
          </w:rPr>
          <w:t xml:space="preserve">IEA 2025</w:t>
        </w:r>
      </w:hyperlink>
      <w:bookmarkEnd w:id="233"/>
      <w:r>
        <w:t xml:space="preserve">).</w:t>
      </w:r>
    </w:p>
    <w:p>
      <w:pPr>
        <w:spacing w:before="0" w:after="160"/>
        <w:ind w:firstLine="0"/>
        <w:jc w:val="both"/>
      </w:pPr>
      <w:r>
        <w:t xml:space="preserve">This surge in demand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ind w:firstLine="0"/>
        <w:jc w:val="both"/>
      </w:pPr>
      <w:r>
        <w:t xml:space="preserve">Several megaprojects confirm that FLOP exporting is technically and commercially feasible. Armenia is deploying 50,000 GPUs in a $4 billion investment (</w:t>
      </w:r>
      <w:bookmarkStart w:id="234" w:name="Firebird2026txt"/>
      <w:hyperlink w:anchor="Firebird2026" w:history="1">
        <w:r>
          <w:rPr>
            <w:color w:val="1F3864"/>
            <w:u w:val="single"/>
          </w:rPr>
          <w:t xml:space="preserve">Firebird 2026</w:t>
        </w:r>
      </w:hyperlink>
      <w:bookmarkEnd w:id="234"/>
      <w:r>
        <w:t xml:space="preserve">), Kenya, Saudi Arabia, and Malaysia have each attracted billion-dollar data center commitments, and cloud computing exports already exceed $9 billion annually (</w:t>
      </w:r>
      <w:bookmarkStart w:id="201" w:name="WorldBank2025txt"/>
      <w:hyperlink w:anchor="WorldBank2025" w:history="1">
        <w:r>
          <w:rPr>
            <w:color w:val="1F3864"/>
            <w:u w:val="single"/>
          </w:rPr>
          <w:t xml:space="preserve">World Bank 2025</w:t>
        </w:r>
      </w:hyperlink>
      <w:bookmarkEnd w:id="201"/>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12–20 percent. Several developing countries rank among the cheapest producers under cost-recovery pricing, but under the bilateral sovereignty specification, trust deficits eliminate all developing-country exports. For energy-rich developing countries, the binding constraint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38" w:name="Korinek2021txt"/>
      <w:hyperlink w:anchor="Korinek2021" w:history="1">
        <w:r>
          <w:rPr>
            <w:color w:val="1F3864"/>
            <w:u w:val="single"/>
          </w:rPr>
          <w:t xml:space="preserve">Korinek and Stiglitz (2021)</w:t>
        </w:r>
      </w:hyperlink>
      <w:bookmarkEnd w:id="238"/>
      <w:r>
        <w:t xml:space="preserve"> warn that developing countries may be left behind in the AI revolution; FLOP exporting offers a route in. The concept connects to </w:t>
      </w:r>
      <w:bookmarkStart w:id="249" w:name="Hausmann2007txt"/>
      <w:hyperlink w:anchor="Hausmann2007" w:history="1">
        <w:r>
          <w:rPr>
            <w:color w:val="1F3864"/>
            <w:u w:val="single"/>
          </w:rPr>
          <w:t xml:space="preserve">Hausmann et al. (2007)</w:t>
        </w:r>
      </w:hyperlink>
      <w:bookmarkEnd w:id="249"/>
      <w:r>
        <w:t xml:space="preserve"> on export composition and growth, and to </w:t>
      </w:r>
      <w:bookmarkStart w:id="245" w:name="Limao2001txt"/>
      <w:hyperlink w:anchor="Limao2001" w:history="1">
        <w:r>
          <w:rPr>
            <w:color w:val="1F3864"/>
            <w:u w:val="single"/>
          </w:rPr>
          <w:t xml:space="preserve">Limão and Venables (2001)</w:t>
        </w:r>
      </w:hyperlink>
      <w:bookmarkEnd w:id="245"/>
      <w:r>
        <w:t xml:space="preserve"> on infrastructure as a trade cost determinant — in our setting, network latency plays the analogous role.</w:t>
      </w:r>
    </w:p>
    <w:p>
      <w:pPr>
        <w:spacing w:before="0" w:after="160"/>
        <w:ind w:firstLine="0"/>
        <w:jc w:val="both"/>
      </w:pPr>
    </w:p>
    <w:p>
      <w:pPr>
        <w:spacing w:before="0" w:after="160"/>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46" w:name="Liu2023txt"/>
      <w:hyperlink w:anchor="Liu2023" w:history="1">
        <w:r>
          <w:rPr>
            <w:color w:val="1F3864"/>
            <w:u w:val="single"/>
          </w:rPr>
          <w:t xml:space="preserve">Liu et al. (2023)</w:t>
        </w:r>
      </w:hyperlink>
      <w:bookmarkEnd w:id="246"/>
      <w:r>
        <w:t xml:space="preserve"> study data center placement under renewable energy constraints. In international trade theory, </w:t>
      </w:r>
      <w:bookmarkStart w:id="250" w:name="Brainard1997txt"/>
      <w:hyperlink w:anchor="Brainard1997" w:history="1">
        <w:r>
          <w:rPr>
            <w:color w:val="1F3864"/>
            <w:u w:val="single"/>
          </w:rPr>
          <w:t xml:space="preserve">Brainard (1997)</w:t>
        </w:r>
      </w:hyperlink>
      <w:bookmarkEnd w:id="250"/>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ind w:firstLine="0"/>
        <w:jc w:val="both"/>
      </w:pPr>
      <w:r>
        <w:t xml:space="preserve">On governance, </w:t>
      </w:r>
      <w:bookmarkStart w:id="240" w:name="Sastry2024txt"/>
      <w:hyperlink w:anchor="Sastry2024" w:history="1">
        <w:r>
          <w:rPr>
            <w:color w:val="1F3864"/>
            <w:u w:val="single"/>
          </w:rPr>
          <w:t xml:space="preserve">Sastry et al. (2024)</w:t>
        </w:r>
      </w:hyperlink>
      <w:bookmarkEnd w:id="240"/>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47" w:name="Pilz2025txt"/>
      <w:hyperlink w:anchor="Pilz2025" w:history="1">
        <w:r>
          <w:rPr>
            <w:color w:val="1F3864"/>
            <w:u w:val="single"/>
          </w:rPr>
          <w:t xml:space="preserve">Pilz et al. (2025)</w:t>
        </w:r>
      </w:hyperlink>
      <w:bookmarkEnd w:id="247"/>
      <w:r>
        <w:t xml:space="preserve"> project that data center power demand could reach 327 GW by 2030. The </w:t>
      </w:r>
      <w:bookmarkStart w:id="251" w:name="WorldBank2025txt"/>
      <w:hyperlink w:anchor="WorldBank2025" w:history="1">
        <w:r>
          <w:rPr>
            <w:color w:val="1F3864"/>
            <w:u w:val="single"/>
          </w:rPr>
          <w:t xml:space="preserve">World Bank (2025)</w:t>
        </w:r>
      </w:hyperlink>
      <w:bookmarkEnd w:id="251"/>
      <w:r>
        <w:t xml:space="preserve"> documents the resulting divide — high-income countries hold 77% of colocation capacity — but without a formal framework linking costs to trade patterns. </w:t>
      </w:r>
      <w:bookmarkStart w:id="241" w:name="Biglaiser2024txt"/>
      <w:hyperlink w:anchor="Biglaiser2024" w:history="1">
        <w:r>
          <w:rPr>
            <w:color w:val="1F3864"/>
            <w:u w:val="single"/>
          </w:rPr>
          <w:t xml:space="preserve">Biglaiser et al. (2024)</w:t>
        </w:r>
      </w:hyperlink>
      <w:bookmarkEnd w:id="241"/>
      <w:r>
        <w:t xml:space="preserve"> survey cloud market IO, and </w:t>
      </w:r>
      <w:bookmarkStart w:id="248" w:name="Stojkoski2024txt"/>
      <w:hyperlink w:anchor="Stojkoski2024" w:history="1">
        <w:r>
          <w:rPr>
            <w:color w:val="1F3864"/>
            <w:u w:val="single"/>
          </w:rPr>
          <w:t xml:space="preserve">Stojkoski et al. (2024)</w:t>
        </w:r>
      </w:hyperlink>
      <w:bookmarkEnd w:id="248"/>
      <w:r>
        <w:t xml:space="preserve"> estimate cloud export geography but treat services as homogeneous. The present model adds supply-side cost structure and a training–inference distinction.</w:t>
      </w:r>
    </w:p>
    <w:p>
      <w:pPr>
        <w:spacing w:before="0" w:after="160"/>
        <w:ind w:firstLine="0"/>
        <w:jc w:val="both"/>
      </w:pPr>
    </w:p>
    <w:p>
      <w:pPr>
        <w:spacing w:before="0" w:after="160"/>
        <w:ind w:firstLine="0"/>
        <w:jc w:val="both"/>
      </w:pPr>
    </w:p>
    <w:p>
      <w:pPr>
        <w:pStyle w:val="Heading1"/>
      </w:pPr>
      <w:r>
        <w:rPr>
          <w:rFonts w:ascii="Times New Roman" w:hAnsi="Times New Roman"/>
          <w:b/>
          <w:color w:val="2F5496"/>
          <w:sz w:val="28"/>
        </w:rPr>
        <w:t>3. Model of Compute Production and Trade</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for its Graphic Processing Units (GPU),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7" w:name="Ohlin1933txt"/>
      <w:hyperlink w:anchor="Ohlin1933" w:history="1">
        <w:r>
          <w:rPr>
            <w:color w:val="1F3864"/>
            <w:u w:val="single"/>
          </w:rPr>
          <w:t xml:space="preserve">Ohlin 1933</w:t>
        </w:r>
      </w:hyperlink>
      <w:bookmarkEnd w:id="207"/>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from </w:t>
      </w:r>
      <w:bookmarkStart w:id="900" w:name="Eq1txt900"/>
      <w:hyperlink w:anchor="Eq1" w:history="1">
        <w:r>
          <w:rPr>
            <w:color w:val="1F3864"/>
            <w:u w:val="single"/>
          </w:rPr>
          <w:t xml:space="preserve">equation (1)</w:t>
        </w:r>
      </w:hyperlink>
      <w:bookmarkEnd w:id="900"/>
      <w:r>
        <w:t xml:space="preserve">. Governance quality, grid reliability, and other institutional factors that affect the willingness of buyers to source compute from a particular country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rather than by a production cost adjustment.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are shown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2" w:name="EIA2025txt"/>
      <w:hyperlink w:anchor="EIA2025" w:history="1">
        <w:r>
          <w:rPr>
            <w:color w:val="1F3864"/>
            <w:u w:val="single"/>
          </w:rPr>
          <w:t xml:space="preserve">EIA 2025</w:t>
        </w:r>
      </w:hyperlink>
      <w:bookmarkEnd w:id="242"/>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UptimeInstitute2024txt"/>
      <w:hyperlink w:anchor="UptimeInstitute2024" w:history="1">
        <w:r>
          <w:rPr>
            <w:color w:val="1F3864"/>
            <w:u w:val="single"/>
          </w:rPr>
          <w:t xml:space="preserve">Uptime Institute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(2020)</w:t>
        </w:r>
      </w:hyperlink>
      <w:bookmarkEnd w:id="221"/>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2" w:name="Eq2txt902"/>
      <w:hyperlink w:anchor="Eq2" w:history="1">
        <w:r>
          <w:rPr>
            <w:color w:val="1F3864"/>
            <w:u w:val="single"/>
          </w:rPr>
          <w:t xml:space="preserve">eq.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ind w:firstLine="0"/>
        <w:jc w:val="both"/>
      </w:pPr>
      <w:r>
        <w:rPr>
          <w:rFonts w:ascii="Times New Roman" w:hAnsi="Times New Roman"/>
          <w:b w:val="0"/>
          <w:i/>
          <w:sz w:val="24"/>
        </w:rPr>
        <w:t xml:space="preserve">Governance. </w:t>
      </w:r>
      <w:r>
        <w:t xml:space="preserve">Governance quality, grid reliability, and other institutional factors that affect the attractiveness of a host country for compute investment enter the model through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(equation 2), not through a production cost adjustment. This reflects the observation that hardware is globally priced and dominates unit cost, so governance frictions primarily affect buyer willingness rather than physical production cost.</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and applying bilateral trade frictions.</w:t>
      </w:r>
    </w:p>
    <w:p>
      <w:pPr>
        <w:spacing w:before="0" w:after="160"/>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3" w:name="IMF2025txt"/>
      <w:hyperlink w:anchor="IMF2025" w:history="1">
        <w:r>
          <w:rPr>
            <w:color w:val="1F3864"/>
            <w:u w:val="single"/>
          </w:rPr>
          <w:t xml:space="preserve">IMF 2025</w:t>
        </w:r>
      </w:hyperlink>
      <w:bookmarkEnd w:id="243"/>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21st. 35 countries change their trade regimes.</w:t>
      </w:r>
    </w:p>
    <w:p>
      <w:pPr>
        <w:spacing w:before="0" w:after="160"/>
        <w:ind w:firstLine="0"/>
        <w:jc w:val="both"/>
      </w:pPr>
      <w:r>
        <w:t>The cost-recovery adjustment reshapes the rankings: Turkmenistan drops 16 places, Tajikistan drops 6.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60, 1,800 MW; Ireland: rank 84, 1,260 MW). The cost ranking identifies the feasible set of exporters, not a prediction of realized investment.</w:t>
      </w:r>
      <m:oMath>
        <m:sSub>
          <m:sSubPr/>
          <m:e>
            <m:r>
              <m:rPr>
                <m:sty m:val="i"/>
              </m:rPr>
              <w:rPr>
                <w:rFonts w:ascii="Cambria Math" w:hAnsi="Cambria Math"/>
              </w:rPr>
              <m:t xml:space="preserve">K̄</m:t>
            </m:r>
          </m:e>
          <m:sub>
            <m:r>
              <m:rPr>
                <m:sty m:val="i"/>
              </m:rPr>
              <w:rPr>
                <w:rFonts w:ascii="Cambria Math" w:hAnsi="Cambria Math"/>
              </w:rPr>
              <m:t xml:space="preserve">j</m:t>
            </m:r>
          </m:sub>
        </m:sSub>
      </m:oMath>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is negative whenever a country’s unit cost lies below the equilibrium price, with the magnitude measuring the cost cushion available to absorb sovereignty frictions before the country loses export competitiveness. Canada’s large negative value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−0.5%</m:t>
        </m:r>
      </m:oMath>
      <w:r>
        <w:t xml:space="preserve">) means buyers could impose a substantial sovereignty premium and still find Canadian compute cheaper than the marginal supplier; values closer to zero flag thinner cost advantages more easily erased by sovereignty frictions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−0.9%</m:t>
        </m:r>
      </m:oMath>
      <w:r>
        <w:t xml:space="preserve">, Switzerland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−8.3%</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$1.61</m:t>
        </m:r>
      </m:oMath>
      <w:r>
        <w:t xml:space="preserve">/hr, set by the marginal exporter’s cost. Training demand is served by 7 exporters (HHI = 0.66), confirming Proposition 2. </w:t>
      </w:r>
      <w:r>
        <w:t xml:space="preserve">The largest shadow values of grid capacity are in Kyrgyzstan ($0.027/hr), Canada ($0.013/hr), Ethiopia ($0.010/hr), indicating modest returns to capacity expansion. </w:t>
      </w:r>
      <w:r>
        <w:t>Under the bilateral sovereignty premium, most training demand shifts to domestic production, and the residual export market is served by a single exporter at $1.58/hr.</w:t>
      </w:r>
    </w:p>
    <w:p>
      <w:pPr>
        <w:spacing w:before="0" w:after="160"/>
        <w:ind w:firstLine="0"/>
        <w:jc w:val="both"/>
      </w:pPr>
      <w:r>
        <w:t xml:space="preserve">Inference exports are more dispersed, with the top five exporters being Canada (43%), Kyrgyzstan (26%), Kosovo (6%), the United Kingdom (1%), and Indonesia (0.9%), collectively accounting for 77% of cross-border inference demand (HHI = 0.26). </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Kosovo, for the United Kingdom domestically, and for France from Kosovo. For China, the cheapest foreign source of inference is Kyrgyzstan. Inference supply thus concentrates around latency-bounded regional hubs, each major market sourcing from a distinct nearby producer.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ind w:firstLine="0"/>
        <w:jc w:val="both"/>
      </w:pP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4" w:name="EatonKortum2002txt"/>
      <w:hyperlink w:anchor="EatonKortum2002" w:history="1">
        <w:r>
          <w:rPr>
            <w:color w:val="1F3864"/>
            <w:u w:val="single"/>
          </w:rPr>
          <w:t xml:space="preserve">Eaton and Kortum 2002</w:t>
        </w:r>
      </w:hyperlink>
      <w:bookmarkEnd w:id="224"/>
      <w:r>
        <w:t xml:space="preserve">, </w:t>
      </w:r>
      <w:bookmarkStart w:id="244" w:name="ACR2012txt"/>
      <w:hyperlink w:anchor="ACR2012" w:history="1">
        <w:r>
          <w:rPr>
            <w:color w:val="1F3864"/>
            <w:u w:val="single"/>
          </w:rPr>
          <w:t xml:space="preserve">Arkolakis et al. 2012</w:t>
        </w:r>
      </w:hyperlink>
      <w:bookmarkEnd w:id="244"/>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25" w:name="WorldBank2025txt"/>
      <w:hyperlink w:anchor="WorldBank2025" w:history="1">
        <w:r>
          <w:rPr>
            <w:color w:val="1F3864"/>
            <w:u w:val="single"/>
          </w:rPr>
          <w:t xml:space="preserve">World Bank (2025)</w:t>
        </w:r>
      </w:hyperlink>
      <w:bookmarkEnd w:id="225"/>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6" w:name="Calcaterra2024txt"/>
      <w:hyperlink w:anchor="Calcaterra2024" w:history="1">
        <w:r>
          <w:rPr>
            <w:color w:val="1F3864"/>
            <w:u w:val="single"/>
          </w:rPr>
          <w:t xml:space="preserve">Calcaterra et al. 2024</w:t>
        </w:r>
      </w:hyperlink>
      <w:bookmarkEnd w:id="226"/>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160"/>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Hardware cost share. </w:t>
      </w:r>
      <w:hyperlink w:anchor="TableA3" w:history="1">
        <w:r>
          <w:rPr>
            <w:color w:val="1F3864"/>
            <w:u w:val="single"/>
          </w:rPr>
          <w:t xml:space="preserve">Table A3</w:t>
        </w:r>
      </w:hyperlink>
      <w:r>
        <w:t xml:space="preserve"> reports sensitivity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shifts the composition of the top fifteen. The qualitative result, that countries combining cheap energy with adequate governance retain their cost advantage, follows from hardware being globally priced, not from any particular parameter choice. The qualitative finding is robust across all specifications.</w:t>
      </w:r>
    </w:p>
    <w:p>
      <w:pPr>
        <w:spacing w:before="0" w:after="160"/>
        <w:ind w:firstLine="0"/>
        <w:jc w:val="both"/>
      </w:pPr>
      <w:r>
        <w:t>The comparative statics have clear economic intuition. The hardware cost share ρ is the most consequential parameter: when hardware’s share rises, the (identical) hardware cost dominates the unit cost, narrowing the cross-country spread and making electricity price differences less decisive — widening the door for developing-country entry.</w:t>
      </w:r>
    </w:p>
    <w:p>
      <w:pPr>
        <w:spacing w:before="0" w:after="160"/>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spacing w:before="0" w:after="160"/>
        <w:ind w:firstLine="0"/>
        <w:jc w:val="both"/>
      </w:pPr>
    </w:p>
    <w:p>
      <w:pPr>
        <w:spacing w:before="0" w:after="160"/>
        <w:ind w:firstLine="0"/>
        <w:jc w:val="both"/>
      </w:pPr>
    </w:p>
    <w:p>
      <w:pPr>
        <w:spacing w:before="0" w:after="160"/>
        <w:ind w:firstLine="0"/>
        <w:jc w:val="both"/>
      </w:pP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bilateral specification, only Canada exports; sovereignty premia shift every other country toward domestic production or importing, at a demand-weighted welfare cost of 1.5% of compute spending. This paradox is the core finding: the countries best positioned to export compute on cost grounds are precisely those excluded by bilateral trust deficits.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ind w:firstLine="0"/>
        <w:jc w:val="both"/>
      </w:pPr>
      <w:r>
        <w:t xml:space="preserve">For developing countries, the results identify both the opportunity and the barrier. Countries like Kyrgyzstan, Kosovo, Ethiopia, and Vietnam rank among the cheapest FLOP producers under cost-recovery pricing, and could use their energy resource endowments (hydropower, natural gas, and solar irradiance) to turn cheap power into exportable compute without building a domestic AI research ecosystem. But the bilateral specification shows that this opportunity is blocked by trust deficits.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progression across Table 3 makes the stakes concrete: cheap energy gets a country into the cost-feasible set (column 2), but bilateral trust eliminates the opportunity (column 3).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27" w:name="vanderPloeg2011txt"/>
      <w:hyperlink w:anchor="vanderPloeg2011" w:history="1">
        <w:r>
          <w:rPr>
            <w:color w:val="1F3864"/>
            <w:u w:val="single"/>
          </w:rPr>
          <w:t xml:space="preserve">van der Ploeg 2011</w:t>
        </w:r>
      </w:hyperlink>
      <w:bookmarkEnd w:id="227"/>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progression across Table 3 makes the policy challenge concrete: cheap energy gets a country into the cost-feasible set (column 2), but bilateral trust eliminates the opportunity (column 3). The binding constraints are not technological but institutional: non-sanctioned status, credible power purchase agreements, network connectivity, and a regulatory environment stable enough to justify a 15-year capital commitment.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r>
        <w:t>Benz, S. and A. Jaax. (2020). “The Costs of Regulatory Barriers to Trade in Services: New Estimates of Ad Valorem Tariff Equivalents.” OECD Trade Policy Papers, No. 238. Paris: OECD Publishing.</w:t>
      </w:r>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r>
        <w:rPr>
          <w:color w:val="1F3864"/>
          <w:u w:val="single"/>
        </w:rPr>
        <w:t xml:space="preserve">Farole, T. </w:t>
      </w:r>
      <w:r>
        <w:t xml:space="preserve">(2011). </w:t>
      </w:r>
      <w:r>
        <w:rPr>
          <w:i/>
        </w:rPr>
        <w:t>Special Economic Zones in Africa: Comparing Performance and Learning from Global Experiences</w:t>
      </w:r>
      <w:r>
        <w:t xml:space="preserve">. Washington, DC: </w:t>
      </w:r>
      <w:bookmarkStart w:id="228" w:name="WorldBank2024txt"/>
      <w:hyperlink w:anchor="WorldBank2024" w:history="1">
        <w:r>
          <w:rPr>
            <w:color w:val="1F3864"/>
            <w:u w:val="single"/>
          </w:rPr>
          <w:t xml:space="preserve">World Bank</w:t>
        </w:r>
      </w:hyperlink>
      <w:bookmarkEnd w:id="228"/>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r>
        <w:rPr>
          <w:color w:val="1F3864"/>
          <w:u w:val="single"/>
        </w:rPr>
        <w:t xml:space="preserve">Frick, S., A. Rodríguez-Pose, and M. Wong. (2019). </w:t>
      </w:r>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29" w:name="WorldBank2024txt"/>
      <w:hyperlink w:anchor="WorldBank2024" w:history="1">
        <w:r>
          <w:rPr>
            <w:i/>
            <w:color w:val="1F3864"/>
            <w:u w:val="single"/>
          </w:rPr>
          <w:t xml:space="preserve">World Bank</w:t>
        </w:r>
      </w:hyperlink>
      <w:bookmarkEnd w:id="229"/>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r>
        <w:rPr>
          <w:color w:val="1F3864"/>
          <w:u w:val="single"/>
        </w:rPr>
        <w:t xml:space="preserve">Turner Lee, N., and D. West. (2025). </w:t>
      </w:r>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r>
        <w:rPr>
          <w:color w:val="1F3864"/>
          <w:u w:val="single"/>
        </w:rPr>
        <w:t xml:space="preserve">World Bank. </w:t>
      </w:r>
      <w:r>
        <w:t xml:space="preserve">(2017). </w:t>
      </w:r>
      <w:r>
        <w:rPr>
          <w:i/>
        </w:rPr>
        <w:t>Special Economic Zones: An Operational Review of Their Impacts</w:t>
      </w:r>
      <w:r>
        <w:t xml:space="preserve">. Washington, DC: </w:t>
      </w:r>
      <w:bookmarkStart w:id="230" w:name="WorldBank2024txt"/>
      <w:hyperlink w:anchor="WorldBank2024" w:history="1">
        <w:r>
          <w:rPr>
            <w:color w:val="1F3864"/>
            <w:u w:val="single"/>
          </w:rPr>
          <w:t xml:space="preserve">World Bank</w:t>
        </w:r>
      </w:hyperlink>
      <w:bookmarkEnd w:id="230"/>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1" w:name="WorldBank2024txt"/>
      <w:hyperlink w:anchor="WorldBank2024" w:history="1">
        <w:r>
          <w:rPr>
            <w:color w:val="1F3864"/>
            <w:u w:val="single"/>
          </w:rPr>
          <w:t xml:space="preserve">World Bank</w:t>
        </w:r>
      </w:hyperlink>
      <w:bookmarkEnd w:id="231"/>
      <w:r>
        <w:t xml:space="preserve">.</w:t>
      </w:r>
      <w:bookmarkEnd w:id="546"/>
    </w:p>
    <w:p>
      <w:pPr>
        <w:spacing w:before="0" w:after="80" w:line="240" w:lineRule="exact"/>
        <w:ind w:hanging="720" w:left="720"/>
        <w:jc w:val="both"/>
      </w:pPr>
      <w:bookmarkStart w:id="547" w:name="WBES2025"/>
      <w:r>
        <w:rPr>
          <w:color w:val="1F3864"/>
          <w:u w:val="single"/>
        </w:rPr>
        <w:t xml:space="preserve">World Bank. </w:t>
      </w:r>
      <w:r>
        <w:t xml:space="preserve">(2025). </w:t>
      </w:r>
      <w:r>
        <w:rPr>
          <w:i/>
        </w:rPr>
        <w:t>Enterprise Surveys</w:t>
      </w:r>
      <w:r>
        <w:t xml:space="preserve">. Washington, DC: </w:t>
      </w:r>
      <w:bookmarkStart w:id="232" w:name="WorldBank2024txt"/>
      <w:hyperlink w:anchor="WorldBank2024" w:history="1">
        <w:r>
          <w:rPr>
            <w:color w:val="1F3864"/>
            <w:u w:val="single"/>
          </w:rPr>
          <w:t xml:space="preserve">World Bank</w:t>
        </w:r>
      </w:hyperlink>
      <w:bookmarkEnd w:id="232"/>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calibration_strategy_v31.png"/>
                    <pic:cNvPicPr/>
                  </pic:nvPicPr>
                  <pic:blipFill>
                    <a:blip r:embed="rId10"/>
                    <a:stretch>
                      <a:fillRect/>
                    </a:stretch>
                  </pic:blipFill>
                  <pic:spPr>
                    <a:xfrm>
                      <a:off x="0" y="0"/>
                      <a:ext cx="5029200" cy="2828925"/>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(3) Bilateral</w:t>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75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75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Type</w:t>
            </w:r>
          </w:p>
        </w:tc>
      </w:tr>
      <w:tr>
        <w:tc>
          <w:tcPr>
            <w:tcW w:w="1800" w:type="dxa"/>
          </w:tcPr>
          <w:p>
            <w:pPr>
              <w:jc w:val="left"/>
              <w:spacing w:before="10" w:after="10"/>
            </w:pPr>
            <w:r/>
            <w:r>
              <w:rPr>
                <w:rFonts w:ascii="Times New Roman" w:hAnsi="Times New Roman"/>
                <w:sz w:val="16"/>
              </w:rPr>
              <w:t>Kyrgyzstan</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4</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1</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Ethiopia</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3</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2</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Canada</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7</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3</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Kosovo</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9</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4</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China</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10</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5</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Tajikistan</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12</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6</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Montenegro</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14</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7</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Colombia</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15</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8</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Ukraine</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16</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9</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Argentina</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18</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10</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Azerbaijan</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19</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11</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Algeria</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6</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12</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Russia</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8</w:t>
            </w:r>
          </w:p>
        </w:tc>
        <w:tc>
          <w:tcPr>
            <w:tcW w:w="450" w:type="dxa"/>
          </w:tcPr>
          <w:p>
            <w:pPr>
              <w:jc w:val="center"/>
              <w:spacing w:before="10" w:after="10"/>
            </w:pPr>
            <w:r/>
            <w:r>
              <w:rPr>
                <w:rFonts w:ascii="Times New Roman" w:hAnsi="Times New Roman"/>
                <w:sz w:val="16"/>
              </w:rPr>
              <w:t>DD</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13</w:t>
            </w:r>
          </w:p>
        </w:tc>
        <w:tc>
          <w:tcPr>
            <w:tcW w:w="450" w:type="dxa"/>
          </w:tcPr>
          <w:p>
            <w:pPr>
              <w:jc w:val="center"/>
              <w:spacing w:before="10" w:after="10"/>
            </w:pPr>
            <w:r/>
            <w:r>
              <w:rPr>
                <w:rFonts w:ascii="Times New Roman" w:hAnsi="Times New Roman"/>
                <w:sz w:val="16"/>
              </w:rPr>
              <w:t>DD</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Vietnam</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22</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14</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Egypt</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5</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15</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India</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23</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16</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Norway</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25</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17</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Turkmenistan</w:t>
            </w:r>
          </w:p>
        </w:tc>
        <w:tc>
          <w:tcPr>
            <w:tcW w:w="7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2</w:t>
            </w:r>
          </w:p>
        </w:tc>
        <w:tc>
          <w:tcPr>
            <w:tcW w:w="450" w:type="dxa"/>
          </w:tcPr>
          <w:p>
            <w:pPr>
              <w:jc w:val="center"/>
              <w:spacing w:before="10" w:after="10"/>
            </w:pPr>
            <w:r/>
            <w:r>
              <w:rPr>
                <w:rFonts w:ascii="Times New Roman" w:hAnsi="Times New Roman"/>
                <w:sz w:val="16"/>
              </w:rPr>
              <w:t>DD</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18</w:t>
            </w:r>
          </w:p>
        </w:tc>
        <w:tc>
          <w:tcPr>
            <w:tcW w:w="450" w:type="dxa"/>
          </w:tcPr>
          <w:p>
            <w:pPr>
              <w:jc w:val="center"/>
              <w:spacing w:before="10" w:after="10"/>
            </w:pPr>
            <w:r/>
            <w:r>
              <w:rPr>
                <w:rFonts w:ascii="Times New Roman" w:hAnsi="Times New Roman"/>
                <w:sz w:val="16"/>
              </w:rPr>
              <w:t>DD</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Finland</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26</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19</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IE</w:t>
            </w:r>
          </w:p>
        </w:tc>
      </w:tr>
      <w:tr>
        <w:tc>
          <w:tcPr>
            <w:tcW w:w="1800" w:type="dxa"/>
          </w:tcPr>
          <w:p>
            <w:pPr>
              <w:jc w:val="left"/>
              <w:spacing w:before="10" w:after="10"/>
            </w:pPr>
            <w:r/>
            <w:r>
              <w:rPr>
                <w:rFonts w:ascii="Times New Roman" w:hAnsi="Times New Roman"/>
                <w:sz w:val="16"/>
              </w:rPr>
              <w:t>Brazil</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27</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20</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Iran</w:t>
            </w:r>
          </w:p>
        </w:tc>
        <w:tc>
          <w:tcPr>
            <w:tcW w:w="7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1</w:t>
            </w:r>
          </w:p>
        </w:tc>
        <w:tc>
          <w:tcPr>
            <w:tcW w:w="450" w:type="dxa"/>
          </w:tcPr>
          <w:p>
            <w:pPr>
              <w:jc w:val="center"/>
              <w:spacing w:before="10" w:after="10"/>
            </w:pPr>
            <w:r/>
            <w:r>
              <w:rPr>
                <w:rFonts w:ascii="Times New Roman" w:hAnsi="Times New Roman"/>
                <w:sz w:val="16"/>
              </w:rPr>
              <w:t>DD</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21</w:t>
            </w:r>
          </w:p>
        </w:tc>
        <w:tc>
          <w:tcPr>
            <w:tcW w:w="450" w:type="dxa"/>
          </w:tcPr>
          <w:p>
            <w:pPr>
              <w:jc w:val="center"/>
              <w:spacing w:before="10" w:after="10"/>
            </w:pPr>
            <w:r/>
            <w:r>
              <w:rPr>
                <w:rFonts w:ascii="Times New Roman" w:hAnsi="Times New Roman"/>
                <w:sz w:val="16"/>
              </w:rPr>
              <w:t>DD</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Indonesia</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29</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22</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Sweden</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30</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23</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IE</w:t>
            </w:r>
          </w:p>
        </w:tc>
      </w:tr>
      <w:tr>
        <w:tc>
          <w:tcPr>
            <w:tcW w:w="1800" w:type="dxa"/>
          </w:tcPr>
          <w:p>
            <w:pPr>
              <w:jc w:val="left"/>
              <w:spacing w:before="10" w:after="10"/>
            </w:pPr>
            <w:r/>
            <w:r>
              <w:rPr>
                <w:rFonts w:ascii="Times New Roman" w:hAnsi="Times New Roman"/>
                <w:sz w:val="16"/>
              </w:rPr>
              <w:t>Kazakhstan</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21</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24</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Borders>
              <w:bottom w:val="double" w:sz="4" w:space="0" w:color="auto"/>
            </w:tcBorders>
            <w:tcW w:w="1800" w:type="dxa"/>
          </w:tcPr>
          <w:p>
            <w:pPr>
              <w:jc w:val="left"/>
              <w:spacing w:before="10" w:after="10"/>
            </w:pPr>
            <w:r/>
            <w:r>
              <w:rPr>
                <w:rFonts w:ascii="Times New Roman" w:hAnsi="Times New Roman"/>
                <w:sz w:val="16"/>
              </w:rPr>
              <w:t>Uzbekistan</w:t>
            </w:r>
          </w:p>
        </w:tc>
        <w:tc>
          <w:tcPr>
            <w:tcBorders>
              <w:bottom w:val="double" w:sz="4" w:space="0" w:color="auto"/>
            </w:tcBorders>
            <w:tcW w:w="750" w:type="dxa"/>
          </w:tcPr>
          <w:p>
            <w:pPr>
              <w:jc w:val="center"/>
              <w:spacing w:before="10" w:after="10"/>
            </w:pPr>
            <w:r/>
            <w:r>
              <w:rPr>
                <w:rFonts w:ascii="Times New Roman" w:hAnsi="Times New Roman"/>
                <w:sz w:val="16"/>
              </w:rPr>
              <w:t>$1.64</w:t>
            </w:r>
          </w:p>
        </w:tc>
        <w:tc>
          <w:tcPr>
            <w:tcBorders>
              <w:bottom w:val="double" w:sz="4" w:space="0" w:color="auto"/>
            </w:tcBorders>
            <w:tcW w:w="450" w:type="dxa"/>
          </w:tcPr>
          <w:p>
            <w:pPr>
              <w:jc w:val="center"/>
              <w:spacing w:before="10" w:after="10"/>
            </w:pPr>
            <w:r/>
            <w:r>
              <w:rPr>
                <w:rFonts w:ascii="Times New Roman" w:hAnsi="Times New Roman"/>
                <w:sz w:val="16"/>
              </w:rPr>
              <w:t>20</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750" w:type="dxa"/>
          </w:tcPr>
          <w:p>
            <w:pPr>
              <w:jc w:val="center"/>
              <w:spacing w:before="10" w:after="10"/>
            </w:pPr>
            <w:r/>
            <w:r>
              <w:rPr>
                <w:rFonts w:ascii="Times New Roman" w:hAnsi="Times New Roman"/>
                <w:sz w:val="16"/>
              </w:rPr>
              <w:t>$1.65</w:t>
            </w:r>
          </w:p>
        </w:tc>
        <w:tc>
          <w:tcPr>
            <w:tcBorders>
              <w:bottom w:val="double" w:sz="4" w:space="0" w:color="auto"/>
            </w:tcBorders>
            <w:tcW w:w="450" w:type="dxa"/>
          </w:tcPr>
          <w:p>
            <w:pPr>
              <w:jc w:val="center"/>
              <w:spacing w:before="10" w:after="10"/>
            </w:pPr>
            <w:r/>
            <w:r>
              <w:rPr>
                <w:rFonts w:ascii="Times New Roman" w:hAnsi="Times New Roman"/>
                <w:sz w:val="16"/>
              </w:rPr>
              <w:t>25</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500" w:type="dxa"/>
          </w:tcPr>
          <w:p>
            <w:pPr>
              <w:jc w:val="center"/>
              <w:spacing w:before="10" w:after="10"/>
            </w:pPr>
            <w:r/>
            <w:r>
              <w:rPr>
                <w:rFonts w:ascii="Times New Roman" w:hAnsi="Times New Roman"/>
                <w:sz w:val="16"/>
              </w:rPr>
              <w:t>DD</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Specifications (1) and (2) show unit cost ($/GPU-hr), rank among 85 countries, and regime type. (3) shows regime type only (cost and rank unchanged from (2)). EE = training + inference exporter; IE = inference exporter; DD = domestic producer; II = full importer. (1) Raw: observed electricity tariffs. (2) Cost-recovery: subsidized tariffs replaced with LRMC. (3) Bilateral: bilateral sovereignty premium λᵢⱼ from </w:t>
      </w:r>
      <w:bookmarkStart w:id="904" w:name="Eq2txt904"/>
      <w:hyperlink w:anchor="Eq2" w:history="1">
        <w:r>
          <w:rPr>
            <w:rFonts w:ascii="Times New Roman" w:hAnsi="Times New Roman"/>
            <w:sz w:val="20"/>
            <w:color w:val="1F3864"/>
            <w:u w:val="single"/>
          </w:rPr>
          <w:t xml:space="preserve">equation (2)</w:t>
        </w:r>
      </w:hyperlink>
      <w:bookmarkEnd w:id="904"/>
      <w:r>
        <w:rPr>
          <w:rFonts w:ascii="Times New Roman" w:hAnsi="Times New Roman"/>
          <w:sz w:val="20"/>
        </w:rPr>
        <w:t xml:space="preserve">; only regime assignments change. * = sanctioned/GPU-blocked. † = developing-country exporter.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4txt905"/>
      <w:hyperlink w:anchor="Eq4" w:history="1">
        <w:r>
          <w:rPr>
            <w:sz w:val="20"/>
            <w:color w:val="1F3864"/>
            <w:u w:val="single"/>
          </w:rPr>
          <w:t xml:space="preserve">equation (4)</w:t>
        </w:r>
      </w:hyperlink>
      <w:bookmarkEnd w:id="905"/>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$1.79</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$1.79</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4txt907"/>
      <w:hyperlink w:anchor="Eq4" w:history="1">
        <w:r>
          <w:rPr>
            <w:color w:val="1F3864"/>
            <w:u w:val="single"/>
          </w:rPr>
          <w:t xml:space="preserve">equation (4)</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8" w:name="Eq2txt908"/>
      <w:hyperlink w:anchor="Eq2" w:history="1">
        <w:r>
          <w:rPr>
            <w:color w:val="1F3864"/>
            <w:u w:val="single"/>
          </w:rPr>
          <w:t xml:space="preserve">equation (2)</w:t>
        </w:r>
      </w:hyperlink>
      <w:bookmarkEnd w:id="908"/>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12</w:t>
            </w:r>
          </w:p>
        </w:tc>
        <w:tc>
          <w:tcPr>
            <w:tcW w:w="700" w:type="dxa"/>
          </w:tcPr>
          <w:p>
            <w:pPr>
              <w:jc w:val="right"/>
              <w:spacing w:before="10" w:after="10"/>
            </w:pPr>
            <w:r/>
            <w:r>
              <w:rPr>
                <w:sz w:val="16"/>
              </w:rPr>
              <w:t>12.2%</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Canada, Kosovo,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12</w:t>
            </w:r>
          </w:p>
        </w:tc>
        <w:tc>
          <w:tcPr>
            <w:tcW w:w="700" w:type="dxa"/>
          </w:tcPr>
          <w:p>
            <w:pPr>
              <w:jc w:val="right"/>
              <w:spacing w:before="10" w:after="10"/>
            </w:pPr>
            <w:r/>
            <w:r>
              <w:rPr>
                <w:sz w:val="16"/>
              </w:rPr>
              <w:t>12.7%</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Canada, Kosovo,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12</w:t>
            </w:r>
          </w:p>
        </w:tc>
        <w:tc>
          <w:tcPr>
            <w:tcBorders>
              <w:bottom w:val="double" w:sz="4" w:space="0" w:color="auto"/>
            </w:tcBorders>
            <w:tcW w:w="700" w:type="dxa"/>
          </w:tcPr>
          <w:p>
            <w:pPr>
              <w:jc w:val="right"/>
              <w:spacing w:before="10" w:after="10"/>
            </w:pPr>
            <w:r/>
            <w:r>
              <w:rPr>
                <w:sz w:val="16"/>
              </w:rPr>
              <w:t>11.8%</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Canada, Kosovo, China</w:t>
            </w:r>
          </w:p>
        </w:tc>
      </w:tr>
    </w:tbl>
    <w:p>
      <w:pPr>
        <w:spacing w:before="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(Benz and Jaax 2020).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