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18:45</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160"/>
        <w:ind w:firstLine="0"/>
        <w:jc w:val="both"/>
      </w:pPr>
    </w:p>
    <w:p>
      <w:pPr>
        <w:spacing w:before="0" w:after="16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cost-recovery adjustment reshapes the rankings: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60,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160"/>
        <w:ind w:firstLine="0"/>
        <w:jc w:val="both"/>
      </w:pPr>
    </w:p>
    <w:p>
      <w:pPr>
        <w:spacing w:before="0" w:after="160"/>
        <w:ind w:firstLine="0"/>
        <w:jc w:val="both"/>
      </w:pPr>
    </w:p>
    <w:p>
      <w:pPr>
        <w:spacing w:before="0" w:after="160"/>
        <w:ind w:firstLine="0"/>
        <w:jc w:val="both"/>
      </w:pP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(3) Bilateral</w:t>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75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800" w:type="dxa"/>
          </w:tcPr>
          <w:p>
            <w:pPr>
              <w:jc w:val="left"/>
              <w:spacing w:before="10" w:after="10"/>
            </w:pPr>
            <w:r/>
            <w:r>
              <w:rPr>
                <w:rFonts w:ascii="Times New Roman" w:hAnsi="Times New Roman"/>
                <w:sz w:val="16"/>
              </w:rPr>
              <w:t>Kyrgyzstan</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Ethiopia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Canada</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3</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Kosovo</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4</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China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Tajikistan</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Montenegro</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7</w:t>
            </w:r>
          </w:p>
        </w:tc>
        <w:tc>
          <w:tcPr>
            <w:tcW w:w="450" w:type="dxa"/>
          </w:tcPr>
          <w:p>
            <w:pPr>
              <w:jc w:val="center"/>
              <w:spacing w:before="10" w:after="10"/>
            </w:pPr>
            <w:r/>
            <w:r>
              <w:rPr>
                <w:rFonts w:ascii="Times New Roman" w:hAnsi="Times New Roman"/>
                <w:sz w:val="16"/>
              </w:rPr>
              <w:t>EE</w:t>
            </w:r>
          </w:p>
        </w:tc>
        <w:tc>
          <w:tcPr>
            <w:tcW w:w="500" w:type="dxa"/>
          </w:tcPr>
          <w:p>
            <w:pPr>
              <w:jc w:val="center"/>
              <w:spacing w:before="10" w:after="10"/>
            </w:pPr>
            <w:r/>
            <w:r>
              <w:rPr>
                <w:rFonts w:ascii="Times New Roman" w:hAnsi="Times New Roman"/>
                <w:sz w:val="16"/>
              </w:rPr>
              <w:t>EE</w:t>
            </w:r>
          </w:p>
        </w:tc>
      </w:tr>
      <w:tr>
        <w:tc>
          <w:tcPr>
            <w:tcW w:w="1800" w:type="dxa"/>
          </w:tcPr>
          <w:p>
            <w:pPr>
              <w:jc w:val="left"/>
              <w:spacing w:before="10" w:after="10"/>
            </w:pPr>
            <w:r/>
            <w:r>
              <w:rPr>
                <w:rFonts w:ascii="Times New Roman" w:hAnsi="Times New Roman"/>
                <w:sz w:val="16"/>
              </w:rPr>
              <w:t>Colombia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Ukraine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Argentina</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10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Azerbaijan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11</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Algeria</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6</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12</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Russia</w:t>
            </w:r>
          </w:p>
        </w:tc>
        <w:tc>
          <w:tcPr>
            <w:tcW w:w="7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8</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13</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Vietnam</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Egypt</w:t>
            </w:r>
          </w:p>
        </w:tc>
        <w:tc>
          <w:tcPr>
            <w:tcW w:w="7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5</w:t>
            </w:r>
          </w:p>
        </w:tc>
        <w:tc>
          <w:tcPr>
            <w:tcW w:w="450" w:type="dxa"/>
          </w:tcPr>
          <w:p>
            <w:pPr>
              <w:jc w:val="center"/>
              <w:spacing w:before="10" w:after="10"/>
            </w:pPr>
            <w:r/>
            <w:r>
              <w:rPr>
                <w:rFonts w:ascii="Times New Roman" w:hAnsi="Times New Roman"/>
                <w:sz w:val="16"/>
              </w:rPr>
              <w:t>EE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15</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India</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16</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Norway</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25</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17</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Turkmenistan</w:t>
            </w:r>
          </w:p>
        </w:tc>
        <w:tc>
          <w:tcPr>
            <w:tcW w:w="7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2</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18</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Finland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26</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19</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Brazil</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27</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20</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Iran</w:t>
            </w:r>
          </w:p>
        </w:tc>
        <w:tc>
          <w:tcPr>
            <w:tcW w:w="7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1</w:t>
            </w:r>
          </w:p>
        </w:tc>
        <w:tc>
          <w:tcPr>
            <w:tcW w:w="450" w:type="dxa"/>
          </w:tcPr>
          <w:p>
            <w:pPr>
              <w:jc w:val="center"/>
              <w:spacing w:before="10" w:after="10"/>
            </w:pPr>
            <w:r/>
            <w:r>
              <w:rPr>
                <w:rFonts w:ascii="Times New Roman" w:hAnsi="Times New Roman"/>
                <w:sz w:val="16"/>
              </w:rPr>
              <w:t>DD</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DD</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Indonesia</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29</w:t>
            </w:r>
          </w:p>
        </w:tc>
        <w:tc>
          <w:tcPr>
            <w:tcW w:w="450" w:type="dxa"/>
          </w:tcPr>
          <w:p>
            <w:pPr>
              <w:jc w:val="center"/>
              <w:spacing w:before="10" w:after="10"/>
            </w:pPr>
            <w:r/>
            <w:r>
              <w:rPr>
                <w:rFonts w:ascii="Times New Roman" w:hAnsi="Times New Roman"/>
                <w:sz w:val="16"/>
              </w:rPr>
              <w:t>IE</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22</w:t>
            </w:r>
          </w:p>
        </w:tc>
        <w:tc>
          <w:tcPr>
            <w:tcW w:w="450" w:type="dxa"/>
          </w:tcPr>
          <w:p>
            <w:pPr>
              <w:jc w:val="center"/>
              <w:spacing w:before="10" w:after="10"/>
            </w:pPr>
            <w:r/>
            <w:r>
              <w:rPr>
                <w:rFonts w:ascii="Times New Roman" w:hAnsi="Times New Roman"/>
                <w:sz w:val="16"/>
              </w:rPr>
              <w:t>IE</w:t>
            </w:r>
          </w:p>
        </w:tc>
        <w:tc>
          <w:tcPr>
            <w:tcW w:w="500" w:type="dxa"/>
          </w:tcPr>
          <w:p>
            <w:pPr>
              <w:jc w:val="center"/>
              <w:spacing w:before="10" w:after="10"/>
            </w:pPr>
            <w:r/>
            <w:r>
              <w:rPr>
                <w:rFonts w:ascii="Times New Roman" w:hAnsi="Times New Roman"/>
                <w:sz w:val="16"/>
              </w:rPr>
              <w:t>DD</w:t>
            </w:r>
          </w:p>
        </w:tc>
      </w:tr>
      <w:tr>
        <w:tc>
          <w:tcPr>
            <w:tcW w:w="1800" w:type="dxa"/>
          </w:tcPr>
          <w:p>
            <w:pPr>
              <w:jc w:val="left"/>
              <w:spacing w:before="10" w:after="10"/>
            </w:pPr>
            <w:r/>
            <w:r>
              <w:rPr>
                <w:rFonts w:ascii="Times New Roman" w:hAnsi="Times New Roman"/>
                <w:sz w:val="16"/>
              </w:rPr>
              <w:t>Sweden</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30</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23</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IE</w:t>
            </w:r>
          </w:p>
        </w:tc>
      </w:tr>
      <w:tr>
        <w:tc>
          <w:tcPr>
            <w:tcW w:w="1800" w:type="dxa"/>
          </w:tcPr>
          <w:p>
            <w:pPr>
              <w:jc w:val="left"/>
              <w:spacing w:before="10" w:after="10"/>
            </w:pPr>
            <w:r/>
            <w:r>
              <w:rPr>
                <w:rFonts w:ascii="Times New Roman" w:hAnsi="Times New Roman"/>
                <w:sz w:val="16"/>
              </w:rPr>
              <w:t>Kazakhstan</w:t>
            </w:r>
          </w:p>
        </w:tc>
        <w:tc>
          <w:tcPr>
            <w:tcW w:w="75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21</w:t>
            </w:r>
          </w:p>
        </w:tc>
        <w:tc>
          <w:tcPr>
            <w:tcW w:w="450" w:type="dxa"/>
          </w:tcPr>
          <w:p>
            <w:pPr>
              <w:jc w:val="center"/>
              <w:spacing w:before="10" w:after="10"/>
            </w:pPr>
            <w:r/>
            <w:r>
              <w:rPr>
                <w:rFonts w:ascii="Times New Roman" w:hAnsi="Times New Roman"/>
                <w:sz w:val="16"/>
              </w:rPr>
              <w:t>II</w:t>
            </w:r>
          </w:p>
        </w:tc>
        <w:tc>
          <w:tcPr>
            <w:tcW w:w="7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24</w:t>
            </w:r>
          </w:p>
        </w:tc>
        <w:tc>
          <w:tcPr>
            <w:tcW w:w="450" w:type="dxa"/>
          </w:tcPr>
          <w:p>
            <w:pPr>
              <w:jc w:val="center"/>
              <w:spacing w:before="10" w:after="10"/>
            </w:pPr>
            <w:r/>
            <w:r>
              <w:rPr>
                <w:rFonts w:ascii="Times New Roman" w:hAnsi="Times New Roman"/>
                <w:sz w:val="16"/>
              </w:rPr>
              <w:t>II</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750" w:type="dxa"/>
          </w:tcPr>
          <w:p>
            <w:pPr>
              <w:jc w:val="center"/>
              <w:spacing w:before="10" w:after="10"/>
            </w:pPr>
            <w:r/>
            <w:r>
              <w:rPr>
                <w:rFonts w:ascii="Times New Roman" w:hAnsi="Times New Roman"/>
                <w:sz w:val="16"/>
              </w:rPr>
              <w:t>$1.64</w:t>
            </w:r>
          </w:p>
        </w:tc>
        <w:tc>
          <w:tcPr>
            <w:tcBorders>
              <w:bottom w:val="double" w:sz="4" w:space="0" w:color="auto"/>
            </w:tcBorders>
            <w:tcW w:w="450" w:type="dxa"/>
          </w:tcPr>
          <w:p>
            <w:pPr>
              <w:jc w:val="center"/>
              <w:spacing w:before="10" w:after="10"/>
            </w:pPr>
            <w:r/>
            <w:r>
              <w:rPr>
                <w:rFonts w:ascii="Times New Roman" w:hAnsi="Times New Roman"/>
                <w:sz w:val="16"/>
              </w:rPr>
              <w:t>20</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750" w:type="dxa"/>
          </w:tcPr>
          <w:p>
            <w:pPr>
              <w:jc w:val="center"/>
              <w:spacing w:before="10" w:after="10"/>
            </w:pPr>
            <w:r/>
            <w:r>
              <w:rPr>
                <w:rFonts w:ascii="Times New Roman" w:hAnsi="Times New Roman"/>
                <w:sz w:val="16"/>
              </w:rPr>
              <w:t>$1.65</w:t>
            </w:r>
          </w:p>
        </w:tc>
        <w:tc>
          <w:tcPr>
            <w:tcBorders>
              <w:bottom w:val="double" w:sz="4" w:space="0" w:color="auto"/>
            </w:tcBorders>
            <w:tcW w:w="450" w:type="dxa"/>
          </w:tcPr>
          <w:p>
            <w:pPr>
              <w:jc w:val="center"/>
              <w:spacing w:before="10" w:after="10"/>
            </w:pPr>
            <w:r/>
            <w:r>
              <w:rPr>
                <w:rFonts w:ascii="Times New Roman" w:hAnsi="Times New Roman"/>
                <w:sz w:val="16"/>
              </w:rPr>
              <w:t>25</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Specifications (1) and (2) show unit cost ($/GPU-hr), rank among 85 countries, and regime type. (3) shows regime type only (cost and rank unchanged from (2)). EE = training + inference exporter; IE = inference exporter; DD = domestic producer; II = full importer. (1) Raw: observed electricity tariffs. (2) Cost-recovery: subsidized tariffs replaced with LRMC. (3) Bilateral: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only regime assignments change. * = sanctioned/GPU-blocked. † = developing-country exporter.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$1.79</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