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v25  —  February 23, 2026  21:26</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2024—more than the electricity consumption of France—a share projected to more than double by 2030 (</w:t>
      </w:r>
      <w:bookmarkStart w:id="245" w:name="IEA2025txt"/>
      <w:hyperlink w:anchor="IEA2025" w:history="1">
        <w:r>
          <w:rPr>
            <w:color w:val="1F3864"/>
            <w:u w:val="single"/>
          </w:rPr>
          <w:t xml:space="preserve">IEA 2025</w:t>
        </w:r>
      </w:hyperlink>
      <w:bookmarkEnd w:id="245"/>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Some energy-abundant economies with weak governance fall in the rankings, but countries that combine cheap energy with adequate institutions remain competitive.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6" w:name="Hausmann2007txt"/>
      <w:hyperlink w:anchor="Hausmann2007" w:history="1">
        <w:r>
          <w:rPr>
            <w:color w:val="1F3864"/>
            <w:u w:val="single"/>
          </w:rPr>
          <w:t xml:space="preserve">Hausmann et al. (2007)</w:t>
        </w:r>
      </w:hyperlink>
      <w:bookmarkEnd w:id="246"/>
      <w:r>
        <w:t xml:space="preserve">, who show that what a country exports matters for growth. </w:t>
      </w:r>
      <w:bookmarkStart w:id="238" w:name="Limao2001txt"/>
      <w:hyperlink w:anchor="Limao2001" w:history="1">
        <w:r>
          <w:rPr>
            <w:color w:val="1F3864"/>
            <w:u w:val="single"/>
          </w:rPr>
          <w:t xml:space="preserve">Limão and Venables (2001)</w:t>
        </w:r>
      </w:hyperlink>
      <w:bookmarkEnd w:id="238"/>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7" w:name="Liu2023txt"/>
      <w:hyperlink w:anchor="Liu2023" w:history="1">
        <w:r>
          <w:rPr>
            <w:color w:val="1F3864"/>
            <w:u w:val="single"/>
          </w:rPr>
          <w:t xml:space="preserve">Liu et al. (2023)</w:t>
        </w:r>
      </w:hyperlink>
      <w:bookmarkEnd w:id="247"/>
      <w:r>
        <w:t xml:space="preserve"> study data center placement under renewable energy constraints. These studies focus on where firms should build data centers. In international trade theory, </w:t>
      </w:r>
      <w:bookmarkStart w:id="250" w:name="Brainard1997txt"/>
      <w:hyperlink w:anchor="Brainard1997" w:history="1">
        <w:r>
          <w:rPr>
            <w:color w:val="1F3864"/>
            <w:u w:val="single"/>
          </w:rPr>
          <w:t xml:space="preserve">Brainard (1997)</w:t>
        </w:r>
      </w:hyperlink>
      <w:bookmarkEnd w:id="250"/>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the governance side, </w:t>
      </w:r>
      <w:bookmarkStart w:id="240" w:name="Sastry2024txt"/>
      <w:hyperlink w:anchor="Sastry2024" w:history="1">
        <w:r>
          <w:rPr>
            <w:color w:val="1F3864"/>
            <w:u w:val="single"/>
          </w:rPr>
          <w:t xml:space="preserve">Sastry et al. (2024)</w:t>
        </w:r>
      </w:hyperlink>
      <w:bookmarkEnd w:id="240"/>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1" w:name="Pilz2025txt"/>
      <w:hyperlink w:anchor="Pilz2025" w:history="1">
        <w:r>
          <w:rPr>
            <w:color w:val="1F3864"/>
            <w:u w:val="single"/>
          </w:rPr>
          <w:t xml:space="preserve">Pilz et al. (2025)</w:t>
        </w:r>
      </w:hyperlink>
      <w:bookmarkEnd w:id="251"/>
      <w:r>
        <w:t xml:space="preserve"> project that AI data center power demand could reach 327 GW by 2030 and that domestic power shortages may push compute infrastructure abroad. The </w:t>
      </w:r>
      <w:bookmarkStart w:id="252" w:name="WorldBank2025txt"/>
      <w:hyperlink w:anchor="WorldBank2025" w:history="1">
        <w:r>
          <w:rPr>
            <w:color w:val="1F3864"/>
            <w:u w:val="single"/>
          </w:rPr>
          <w:t xml:space="preserve">World Bank (2025)</w:t>
        </w:r>
      </w:hyperlink>
      <w:bookmarkEnd w:id="252"/>
      <w:r>
        <w:t xml:space="preserve"> documents the resulting global compute divide: high-income countries hold 77% of colocation data center capacity and account for 87% of cloud computing exports (</w:t>
      </w:r>
      <w:bookmarkStart w:id="248" w:name="Stojkoski2024txt"/>
      <w:hyperlink w:anchor="Stojkoski2024" w:history="1">
        <w:r>
          <w:rPr>
            <w:color w:val="1F3864"/>
            <w:u w:val="single"/>
          </w:rPr>
          <w:t xml:space="preserve">Stojkoski et al. 2024</w:t>
        </w:r>
      </w:hyperlink>
      <w:bookmarkEnd w:id="248"/>
      <w:r>
        <w:t xml:space="preserve">), but the report offers descriptive evidence without a formal framework linking production costs to trade patterns. On the industrial organization side, </w:t>
      </w:r>
      <w:bookmarkStart w:id="241" w:name="Biglaiser2024txt"/>
      <w:hyperlink w:anchor="Biglaiser2024" w:history="1">
        <w:r>
          <w:rPr>
            <w:color w:val="1F3864"/>
            <w:u w:val="single"/>
          </w:rPr>
          <w:t xml:space="preserve">Biglaiser et al. (2024)</w:t>
        </w:r>
      </w:hyperlink>
      <w:bookmarkEnd w:id="241"/>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It is a weighted geometric mean of governance quality and grid reliability: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w:t>
      </w:r>
      <w:bookmarkStart w:id="211" w:name="WorldBank2024txt"/>
      <w:hyperlink w:anchor="WorldBank2024" w:history="1">
        <w:r>
          <w:rPr>
            <w:color w:val="1F3864"/>
            <w:u w:val="single"/>
          </w:rPr>
          <w:t xml:space="preserve">World Bank</w:t>
        </w:r>
      </w:hyperlink>
      <w:bookmarkEnd w:id="211"/>
      <w:r>
        <w:t xml:space="preserve"> Rule of Law percentile (rescaled to [0, 1]), </w:t>
      </w:r>
      <m:oMath>
        <m:r>
          <m:rPr>
            <m:sty m:val="i"/>
          </m:rPr>
          <w:rPr>
            <w:rFonts w:ascii="Cambria Math" w:hAnsi="Cambria Math"/>
          </w:rPr>
          <m:t xml:space="preserve">R</m:t>
        </m:r>
      </m:oMath>
      <w:r>
        <w:t xml:space="preserve"> is the inverse of hours without electricity per firm per year (</w:t>
      </w:r>
      <w:bookmarkStart w:id="212" w:name="WorldBank2024txt"/>
      <w:hyperlink w:anchor="WorldBank2024" w:history="1">
        <w:r>
          <w:rPr>
            <w:color w:val="1F3864"/>
            <w:u w:val="single"/>
          </w:rPr>
          <w:t xml:space="preserve">World Bank</w:t>
        </w:r>
      </w:hyperlink>
      <w:bookmarkEnd w:id="212"/>
      <w:r>
        <w:t xml:space="preserve"> Enterprise Surveys, also rescaled to [0, 1]), and </w:t>
      </w:r>
      <m:oMath>
        <m:r>
          <m:rPr>
            <m:sty m:val="i"/>
          </m:rPr>
          <w:rPr>
            <w:rFonts w:ascii="Cambria Math" w:hAnsi="Cambria Math"/>
          </w:rPr>
          <m:t xml:space="preserve">ω</m:t>
        </m:r>
        <m:r>
          <m:rPr>
            <m:sty m:val="p"/>
          </m:rPr>
          <w:rPr>
            <w:rFonts w:ascii="Cambria Math" w:hAnsi="Cambria Math"/>
          </w:rPr>
          <m:t xml:space="preserve"> = 0.85</m:t>
        </m:r>
      </m:oMath>
      <w:r>
        <w:t xml:space="preserve"> reflects the enclave character of data center operations.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2" w:name="Eurostat2025txt"/>
      <w:hyperlink w:anchor="Eurostat2025" w:history="1">
        <w:r>
          <w:rPr>
            <w:color w:val="1F3864"/>
            <w:u w:val="single"/>
          </w:rPr>
          <w:t xml:space="preserve">Eurostat 2025</w:t>
        </w:r>
      </w:hyperlink>
      <w:bookmarkEnd w:id="242"/>
      <w:r>
        <w:t xml:space="preserve">). For non-European countries, the prices are obtained from national regulator tariff sheets and secondary sources, including the U.S. Energy Information Administration (</w:t>
      </w:r>
      <w:bookmarkStart w:id="249" w:name="EIA2025txt"/>
      <w:hyperlink w:anchor="EIA2025" w:history="1">
        <w:r>
          <w:rPr>
            <w:color w:val="1F3864"/>
            <w:u w:val="single"/>
          </w:rPr>
          <w:t xml:space="preserve">EIA 2025</w:t>
        </w:r>
      </w:hyperlink>
      <w:bookmarkEnd w:id="249"/>
      <w:r>
        <w:t xml:space="preserve">) for the United States, KEPCO for South Korea, national utility tariffs for Central Asian countries, and </w:t>
      </w:r>
      <w:bookmarkStart w:id="213" w:name="GlobalPetrolPrices2025txt"/>
      <w:hyperlink w:anchor="GlobalPetrolPrices2025" w:history="1">
        <w:r>
          <w:rPr>
            <w:color w:val="1F3864"/>
            <w:u w:val="single"/>
          </w:rPr>
          <w:t xml:space="preserve">GlobalPetrolPrices (2025)</w:t>
        </w:r>
      </w:hyperlink>
      <w:bookmarkEnd w:id="213"/>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4" w:name="Hersbach2020txt"/>
      <w:hyperlink w:anchor="Hersbach2020" w:history="1">
        <w:r>
          <w:rPr>
            <w:color w:val="1F3864"/>
            <w:u w:val="single"/>
          </w:rPr>
          <w:t xml:space="preserve">Hersbach et al. 2020</w:t>
        </w:r>
      </w:hyperlink>
      <w:bookmarkEnd w:id="214"/>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5" w:name="TurnerTownsend2025txt"/>
      <w:hyperlink w:anchor="TurnerTownsend2025" w:history="1">
        <w:r>
          <w:rPr>
            <w:color w:val="1F3864"/>
            <w:u w:val="single"/>
          </w:rPr>
          <w:t xml:space="preserve">Turner &amp; Townsend 2025</w:t>
        </w:r>
      </w:hyperlink>
      <w:bookmarkEnd w:id="215"/>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6" w:name="WonderNetwork2024txt"/>
      <w:hyperlink w:anchor="WonderNetwork2024" w:history="1">
        <w:r>
          <w:rPr>
            <w:color w:val="1F3864"/>
            <w:u w:val="single"/>
          </w:rPr>
          <w:t xml:space="preserve">WonderNetwork 2024</w:t>
        </w:r>
      </w:hyperlink>
      <w:bookmarkEnd w:id="216"/>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7" w:name="Cloudscene2025txt"/>
      <w:hyperlink w:anchor="Cloudscene2025" w:history="1">
        <w:r>
          <w:rPr>
            <w:color w:val="1F3864"/>
            <w:u w:val="single"/>
          </w:rPr>
          <w:t xml:space="preserve">Cloudscene 2025</w:t>
        </w:r>
      </w:hyperlink>
      <w:bookmarkEnd w:id="217"/>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8" w:name="UptimeInstitute2024txt"/>
      <w:hyperlink w:anchor="UptimeInstitute2024" w:history="1">
        <w:r>
          <w:rPr>
            <w:color w:val="1F3864"/>
            <w:u w:val="single"/>
          </w:rPr>
          <w:t xml:space="preserve">Uptime Institute 2024</w:t>
        </w:r>
      </w:hyperlink>
      <w:bookmarkEnd w:id="218"/>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9" w:name="Liu2023txt"/>
      <w:hyperlink w:anchor="Liu2023" w:history="1">
        <w:r>
          <w:rPr>
            <w:color w:val="1F3864"/>
            <w:u w:val="single"/>
          </w:rPr>
          <w:t xml:space="preserve">Liu et al. 2023</w:t>
        </w:r>
      </w:hyperlink>
      <w:bookmarkEnd w:id="219"/>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0" w:name="UptimeInstitute2024txt"/>
      <w:hyperlink w:anchor="UptimeInstitute2024" w:history="1">
        <w:r>
          <w:rPr>
            <w:color w:val="1F3864"/>
            <w:u w:val="single"/>
          </w:rPr>
          <w:t xml:space="preserve">Uptime Institute 2024</w:t>
        </w:r>
      </w:hyperlink>
      <w:bookmarkEnd w:id="220"/>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1" w:name="Barroso2018txt"/>
      <w:hyperlink w:anchor="Barroso2018" w:history="1">
        <w:r>
          <w:rPr>
            <w:color w:val="1F3864"/>
            <w:u w:val="single"/>
          </w:rPr>
          <w:t xml:space="preserve">Barroso et al. 2018</w:t>
        </w:r>
      </w:hyperlink>
      <w:bookmarkEnd w:id="221"/>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2" w:name="Barroso2018txt"/>
      <w:hyperlink w:anchor="Barroso2018" w:history="1">
        <w:r>
          <w:rPr>
            <w:color w:val="1F3864"/>
            <w:u w:val="single"/>
          </w:rPr>
          <w:t xml:space="preserve">Barroso et al. 2018</w:t>
        </w:r>
      </w:hyperlink>
      <w:bookmarkEnd w:id="222"/>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3" w:name="Deloitte2020txt"/>
      <w:hyperlink w:anchor="Deloitte2020" w:history="1">
        <w:r>
          <w:rPr>
            <w:color w:val="1F3864"/>
            <w:u w:val="single"/>
          </w:rPr>
          <w:t xml:space="preserve">Deloitte (2020)</w:t>
        </w:r>
      </w:hyperlink>
      <w:bookmarkEnd w:id="223"/>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4" w:name="Deloitte2025txt"/>
      <w:hyperlink w:anchor="Deloitte2025" w:history="1">
        <w:r>
          <w:rPr>
            <w:color w:val="1F3864"/>
            <w:u w:val="single"/>
          </w:rPr>
          <w:t xml:space="preserve">Deloitte 2025</w:t>
        </w:r>
      </w:hyperlink>
      <w:bookmarkEnd w:id="224"/>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is a weighted geometric mean of governance quality and grid reliability with weight </w:t>
      </w:r>
      <m:oMath>
        <m:r>
          <m:rPr>
            <m:sty m:val="i"/>
          </m:rPr>
          <w:rPr>
            <w:rFonts w:ascii="Cambria Math" w:hAnsi="Cambria Math"/>
          </w:rPr>
          <m:t xml:space="preserve">ω</m:t>
        </m:r>
        <m:r>
          <m:rPr>
            <m:sty m:val="p"/>
          </m:rPr>
          <w:rPr>
            <w:rFonts w:ascii="Cambria Math" w:hAnsi="Cambria Math"/>
          </w:rPr>
          <m:t xml:space="preserve"> = 0.85</m:t>
        </m:r>
      </m:oMath>
      <w:r>
        <w:t xml:space="preserve"> on governance. The asymmetric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0.52, Uzbekistan: 0.48, Ethiopia: 0.42). The sensitivity of results to </w:t>
      </w:r>
      <m:oMath>
        <m:r>
          <m:rPr>
            <m:sty m:val="i"/>
          </m:rPr>
          <w:rPr>
            <w:rFonts w:ascii="Cambria Math" w:hAnsi="Cambria Math"/>
          </w:rPr>
          <m:t xml:space="preserve">ω</m:t>
        </m:r>
      </m:oMath>
      <w:r>
        <w:t xml:space="preserve"> is examined in Section 7. ξ ranges from 0.62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5" w:name="Lazard2025txt"/>
      <w:hyperlink w:anchor="Lazard2025" w:history="1">
        <w:r>
          <w:rPr>
            <w:color w:val="1F3864"/>
            <w:u w:val="single"/>
          </w:rPr>
          <w:t xml:space="preserve">Lazard 2025</w:t>
        </w:r>
      </w:hyperlink>
      <w:bookmarkEnd w:id="225"/>
      <w:r>
        <w:t xml:space="preserve">). We apply this adjustment to 13 countries whose retail electricity prices fall below the estimated LRMC. </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42 countries change their trade regimes.</w:t>
      </w:r>
    </w:p>
    <w:p>
      <w:pPr>
        <w:spacing w:before="0" w:after="160"/>
        <w:ind w:firstLine="0"/>
        <w:jc w:val="both"/>
      </w:pPr>
      <w:r>
        <w:t xml:space="preserve">Cost advantages must be weighed against institutional quality. While data centers can mitigate grid unreliability through private infrastructure, governance weaknesses — contract enforcement, expropriation risk, regulatory instability — cannot be engineered away. 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primarily for weak governance (weight 0.85) and secondarily for unreliable grids (weight 0.15).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Norway, Finland, Canada, Sweden, and South Africa. </w:t>
      </w:r>
      <w:r>
        <w:t>The Δ column shows the rank change from raw tariffs to the preferred specification (column 1 to column 4): Iran drops 82 places</w:t>
      </w:r>
      <w:r>
        <w:t>, Kyrgyzstan drops 67</w:t>
      </w:r>
      <w:r>
        <w:t xml:space="preserve">, while Switzerland rises 65 places, </w:t>
      </w:r>
      <w:r>
        <w:t>and Singapore rises 63</w:t>
      </w:r>
      <w:r>
        <w:t xml:space="preserve">. Nine of the ten cheapest countries under the pure engineering cost ranking fall out of the top ten after efficiency adjustment, replaced by countries with stronger governance. Because hardware and networking costs account for roughly 94% of engineering costs, the cross-country cost spread is narrow (about 20%). Even modest governance penalties are large relative to this thin margin, so institutional quality can easily dominate the cost ranking.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−7.2%</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0.2%</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41.3%</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71.9%</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Finland (34%), Norway (7%), Singapore (5%), and Australia (2%), collectively accounting for 96% of global inference demand (HHI = 0.36). Under the bilateral sovereignty premium, most training demand is served domestically, and the smaller export market is served by 1 exporter (HHI = 1.00) at $1.58/hr.</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Finland,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5.1%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4" w:name="ACR2012txt"/>
      <w:hyperlink w:anchor="ACR2012" w:history="1">
        <w:r>
          <w:rPr>
            <w:color w:val="1F3864"/>
            <w:u w:val="single"/>
          </w:rPr>
          <w:t xml:space="preserve">Arkolakis et al. 2012</w:t>
        </w:r>
      </w:hyperlink>
      <w:bookmarkEnd w:id="244"/>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7" w:name="WorldBank2025txt"/>
      <w:hyperlink w:anchor="WorldBank2025" w:history="1">
        <w:r>
          <w:rPr>
            <w:color w:val="1F3864"/>
            <w:u w:val="single"/>
          </w:rPr>
          <w:t xml:space="preserve">World Bank (2025)</w:t>
        </w:r>
      </w:hyperlink>
      <w:bookmarkEnd w:id="227"/>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The calibration in Section 6 adjusts for energy subsidies and institutional quality, but several constraints remain outside the model. GPU export controls bar Iran, Russia, and Belarus from acquiring current-generation hardware, effectively excluding them regardless of cost. Water scarcity constrains cooling in Iran, Turkmenistan, Egypt, and Saudi Arabia, where data center water consumption would compete with agriculture and residential use. These entry barriers are not captured by ξ or by cost-recovery pricing, and they further narrow the set of viable exporters.</w:t>
      </w:r>
    </w:p>
    <w:p>
      <w:pPr>
        <w:spacing w:before="0" w:after="160"/>
        <w:ind w:firstLine="0"/>
        <w:jc w:val="both"/>
      </w:pPr>
      <w:r>
        <w:t>Even after cost-recovery adjustment, fiscal sustainability remains a concern. Regulated tariffs in many developing countries cover operating expenses but not the full capital cost of generation, transmission, and distribution. State-owned enterprises accumulate quasi-fiscal deficits eventually borne by taxpayers. At hyperscale, exporting compute while the domestic energy sector cannot maintain its capital stock is politically unsustainable. Governments face a choice between raising data center tariffs,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Hardware prices. </w:t>
      </w:r>
      <w:r>
        <w:t xml:space="preserve">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Across five scenarios — electricity prices ±$0.01/kWh, GPU price ±20%, and PUE capped at 1.20 — the Spearman rank correlation with the baseline never falls below 0.992, the top five countries are unchanged in four of five cases, and the training price shifts by at most $0.272/hr. </w:t>
      </w:r>
      <w:bookmarkStart w:id="143" w:name="TableA3txt"/>
      <w:hyperlink w:anchor="TableA3" w:history="1">
        <w:r>
          <w:rPr>
            <w:color w:val="1F3864"/>
            <w:u w:val="single"/>
          </w:rPr>
          <w:t xml:space="preserve">Table A3</w:t>
        </w:r>
      </w:hyperlink>
      <w:bookmarkEnd w:id="143"/>
      <w:r>
        <w:t xml:space="preserve"> reports full results.</w:t>
      </w:r>
    </w:p>
    <w:p>
      <w:pPr>
        <w:spacing w:before="0" w:after="160"/>
        <w:ind w:firstLine="0"/>
        <w:jc w:val="both"/>
      </w:pPr>
      <w:r>
        <w:rPr>
          <w:rFonts w:ascii="Times New Roman" w:hAnsi="Times New Roman"/>
          <w:b w:val="0"/>
          <w:i/>
          <w:sz w:val="24"/>
        </w:rPr>
        <w:t xml:space="preserve">Efficiency weight. </w:t>
      </w:r>
      <w:r>
        <w:t xml:space="preserve">The baseline assigns weight </w:t>
      </w:r>
      <m:oMath>
        <m:r>
          <m:rPr>
            <m:sty m:val="i"/>
          </m:rPr>
          <w:rPr>
            <w:rFonts w:ascii="Cambria Math" w:hAnsi="Cambria Math"/>
          </w:rPr>
          <m:t xml:space="preserve">ω</m:t>
        </m:r>
        <m:r>
          <m:rPr>
            <m:sty m:val="p"/>
          </m:rPr>
          <w:rPr>
            <w:rFonts w:ascii="Cambria Math" w:hAnsi="Cambria Math"/>
          </w:rPr>
          <m:t xml:space="preserve"> = 0.85</m:t>
        </m:r>
      </m:oMath>
      <w:r>
        <w:t xml:space="preserve"> to governance and 0.15 to grid reliability. Table [X] reports results for </w:t>
      </w:r>
      <m:oMath>
        <m:r>
          <m:rPr>
            <m:sty m:val="i"/>
          </m:rPr>
          <w:rPr>
            <w:rFonts w:ascii="Cambria Math" w:hAnsi="Cambria Math"/>
          </w:rPr>
          <m:t xml:space="preserve">ω</m:t>
        </m:r>
        <m:r>
          <m:rPr>
            <m:sty m:val="p"/>
          </m:rPr>
          <w:rPr>
            <w:rFonts w:ascii="Cambria Math" w:hAnsi="Cambria Math"/>
          </w:rPr>
          <m:t xml:space="preserve"> = 0.70, 0.85,</m:t>
        </m:r>
      </m:oMath>
      <w:r>
        <w:t xml:space="preserve"> and </w:t>
      </w:r>
      <m:oMath>
        <m:r>
          <m:rPr>
            <m:sty m:val="p"/>
          </m:rPr>
          <w:rPr>
            <w:rFonts w:ascii="Cambria Math" w:hAnsi="Cambria Math"/>
          </w:rPr>
          <m:t xml:space="preserve">1.00</m:t>
        </m:r>
      </m:oMath>
      <w:r>
        <w:t xml:space="preserve">. At </w:t>
      </w:r>
      <m:oMath>
        <m:r>
          <m:rPr>
            <m:sty m:val="i"/>
          </m:rPr>
          <w:rPr>
            <w:rFonts w:ascii="Cambria Math" w:hAnsi="Cambria Math"/>
          </w:rPr>
          <m:t xml:space="preserve">ω</m:t>
        </m:r>
        <m:r>
          <m:rPr>
            <m:sty m:val="p"/>
          </m:rPr>
          <w:rPr>
            <w:rFonts w:ascii="Cambria Math" w:hAnsi="Cambria Math"/>
          </w:rPr>
          <m:t xml:space="preserve"> = 1.00</m:t>
        </m:r>
      </m:oMath>
      <w:r>
        <w:t xml:space="preserve"> (governance only), grid reliability drops out entirely; at </w:t>
      </w:r>
      <m:oMath>
        <m:r>
          <m:rPr>
            <m:sty m:val="i"/>
          </m:rPr>
          <w:rPr>
            <w:rFonts w:ascii="Cambria Math" w:hAnsi="Cambria Math"/>
          </w:rPr>
          <m:t xml:space="preserve">ω</m:t>
        </m:r>
        <m:r>
          <m:rPr>
            <m:sty m:val="p"/>
          </m:rPr>
          <w:rPr>
            <w:rFonts w:ascii="Cambria Math" w:hAnsi="Cambria Math"/>
          </w:rPr>
          <m:t xml:space="preserve"> = 0.70</m:t>
        </m:r>
      </m:oMath>
      <w:r>
        <w:t xml:space="preserve">, it receives moderate weight. The top five exporters are unchanged across all three specifications, and the Spearman rank correlation with the baseline exceeds 0.99 in both alternatives. The qualitative finding — that developing countries with cheap energy and adequate governance can compete — is robust to the choice of </w:t>
      </w:r>
      <m:oMath>
        <m:r>
          <m:rPr>
            <m:sty m:val="i"/>
          </m:rPr>
          <w:rPr>
            <w:rFonts w:ascii="Cambria Math" w:hAnsi="Cambria Math"/>
          </w:rPr>
          <m:t xml:space="preserve">ω</m:t>
        </m:r>
      </m:oMath>
      <w:r>
        <w:t>.</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8.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5.1% of compute spending.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1" w:name="vanderPloeg2011txt"/>
      <w:hyperlink w:anchor="vanderPloeg2011" w:history="1">
        <w:r>
          <w:rPr>
            <w:color w:val="1F3864"/>
            <w:u w:val="single"/>
          </w:rPr>
          <w:t xml:space="preserve">van der Ploeg 2011</w:t>
        </w:r>
      </w:hyperlink>
      <w:bookmarkEnd w:id="231"/>
      <w:r>
        <w:t xml:space="preserve">) warns that concentrated export revenues can lead to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4"/>
    </w:p>
    <w:p>
      <w:pPr>
        <w:spacing w:before="0" w:after="80" w:line="240" w:lineRule="exact"/>
        <w:ind w:hanging="720" w:left="720"/>
        <w:jc w:val="both"/>
      </w:pPr>
      <w:bookmarkStart w:id="515"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5"/>
    </w:p>
    <w:p>
      <w:pPr>
        <w:spacing w:before="0" w:after="80" w:line="240" w:lineRule="exact"/>
        <w:ind w:hanging="720" w:left="720"/>
        <w:jc w:val="both"/>
      </w:pPr>
      <w:bookmarkStart w:id="516"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6"/>
    </w:p>
    <w:p>
      <w:pPr>
        <w:spacing w:before="0" w:after="80" w:line="240" w:lineRule="exact"/>
        <w:ind w:hanging="720" w:left="720"/>
        <w:jc w:val="both"/>
      </w:pPr>
      <w:bookmarkStart w:id="517"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7"/>
    </w:p>
    <w:p>
      <w:pPr>
        <w:spacing w:before="0" w:after="80" w:line="240" w:lineRule="exact"/>
        <w:ind w:hanging="720" w:left="720"/>
        <w:jc w:val="both"/>
      </w:pPr>
      <w:bookmarkStart w:id="518" w:name="Google2024"/>
      <w:r>
        <w:rPr>
          <w:color w:val="1F3864"/>
          <w:u w:val="single"/>
        </w:rPr>
        <w:t xml:space="preserve">Google. </w:t>
      </w:r>
      <w:r>
        <w:t xml:space="preserve">(2024). </w:t>
      </w:r>
      <w:r>
        <w:rPr>
          <w:i/>
        </w:rPr>
        <w:t>2024 Environmental Report</w:t>
      </w:r>
      <w:r>
        <w:t>. sustainability.google.</w:t>
      </w:r>
      <w:bookmarkEnd w:id="518"/>
    </w:p>
    <w:p>
      <w:pPr>
        <w:spacing w:before="0" w:after="80" w:line="240" w:lineRule="exact"/>
        <w:ind w:hanging="720" w:left="720"/>
        <w:jc w:val="both"/>
      </w:pPr>
      <w:bookmarkStart w:id="519"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9"/>
    </w:p>
    <w:p>
      <w:pPr>
        <w:spacing w:before="0" w:after="80" w:line="240" w:lineRule="exact"/>
        <w:ind w:hanging="720" w:left="720"/>
        <w:jc w:val="both"/>
      </w:pPr>
      <w:bookmarkStart w:id="52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0"/>
    </w:p>
    <w:p>
      <w:pPr>
        <w:spacing w:before="0" w:after="80" w:line="240" w:lineRule="exact"/>
        <w:ind w:hanging="720" w:left="720"/>
        <w:jc w:val="both"/>
      </w:pPr>
      <w:bookmarkStart w:id="52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1"/>
    </w:p>
    <w:p>
      <w:pPr>
        <w:spacing w:before="0" w:after="80" w:line="240" w:lineRule="exact"/>
        <w:ind w:hanging="720" w:left="720"/>
        <w:jc w:val="both"/>
      </w:pPr>
      <w:bookmarkStart w:id="522" w:name="IEA2025"/>
      <w:hyperlink w:anchor="IEA2025txt" w:history="1">
        <w:r>
          <w:rPr>
            <w:color w:val="1F3864"/>
            <w:u w:val="single"/>
          </w:rPr>
          <w:t xml:space="preserve">IEA. (2025). </w:t>
        </w:r>
      </w:hyperlink>
      <w:r>
        <w:t>“Energy Demand from AI.” Published online at iea.org.</w:t>
      </w:r>
      <w:bookmarkEnd w:id="522"/>
    </w:p>
    <w:p>
      <w:pPr>
        <w:spacing w:before="0" w:after="80" w:line="240" w:lineRule="exact"/>
        <w:ind w:hanging="720" w:left="720"/>
        <w:jc w:val="both"/>
      </w:pPr>
      <w:bookmarkStart w:id="52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3"/>
    </w:p>
    <w:p>
      <w:pPr>
        <w:spacing w:before="0" w:after="80" w:line="240" w:lineRule="exact"/>
        <w:ind w:hanging="720" w:left="720"/>
        <w:jc w:val="both"/>
      </w:pPr>
      <w:bookmarkStart w:id="524"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4"/>
    </w:p>
    <w:p>
      <w:pPr>
        <w:spacing w:before="0" w:after="80" w:line="240" w:lineRule="exact"/>
        <w:ind w:hanging="720" w:left="720"/>
        <w:jc w:val="both"/>
      </w:pPr>
      <w:bookmarkStart w:id="525"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5"/>
    </w:p>
    <w:p>
      <w:pPr>
        <w:spacing w:before="0" w:after="80" w:line="240" w:lineRule="exact"/>
        <w:ind w:hanging="720" w:left="720"/>
        <w:jc w:val="both"/>
      </w:pPr>
      <w:bookmarkStart w:id="526"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6"/>
    </w:p>
    <w:p>
      <w:pPr>
        <w:spacing w:before="0" w:after="80" w:line="240" w:lineRule="exact"/>
        <w:ind w:hanging="720" w:left="720"/>
        <w:jc w:val="both"/>
      </w:pPr>
      <w:bookmarkStart w:id="527"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7"/>
    </w:p>
    <w:p>
      <w:pPr>
        <w:spacing w:before="0" w:after="80" w:line="240" w:lineRule="exact"/>
        <w:ind w:hanging="720" w:left="720"/>
        <w:jc w:val="both"/>
      </w:pPr>
      <w:bookmarkStart w:id="528"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2" w:name="WorldBank2024txt"/>
      <w:hyperlink w:anchor="WorldBank2024" w:history="1">
        <w:r>
          <w:rPr>
            <w:i/>
            <w:color w:val="1F3864"/>
            <w:u w:val="single"/>
          </w:rPr>
          <w:t xml:space="preserve">World Bank</w:t>
        </w:r>
      </w:hyperlink>
      <w:bookmarkEnd w:id="232"/>
      <w:r>
        <w:rPr>
          <w:i/>
        </w:rPr>
        <w:t xml:space="preserve"> Economic Review</w:t>
      </w:r>
      <w:r>
        <w:t>, 15(3): 451–479.</w:t>
      </w:r>
      <w:bookmarkEnd w:id="528"/>
    </w:p>
    <w:p>
      <w:pPr>
        <w:spacing w:before="0" w:after="80" w:line="240" w:lineRule="exact"/>
        <w:ind w:hanging="720" w:left="720"/>
        <w:jc w:val="both"/>
      </w:pPr>
      <w:bookmarkStart w:id="529"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9"/>
    </w:p>
    <w:p>
      <w:pPr>
        <w:spacing w:before="0" w:after="80" w:line="240" w:lineRule="exact"/>
        <w:ind w:hanging="720" w:left="720"/>
        <w:jc w:val="both"/>
      </w:pPr>
      <w:bookmarkStart w:id="530" w:name="NVIDIA2024"/>
      <w:r>
        <w:rPr>
          <w:color w:val="1F3864"/>
          <w:u w:val="single"/>
        </w:rPr>
        <w:t xml:space="preserve">NVIDIA. </w:t>
      </w:r>
      <w:r>
        <w:t xml:space="preserve">(2024). </w:t>
      </w:r>
      <w:r>
        <w:rPr>
          <w:i/>
        </w:rPr>
        <w:t>NVIDIA H100 Tensor Core GPU Datasheet</w:t>
      </w:r>
      <w:r>
        <w:t>. nvidia.com.</w:t>
      </w:r>
      <w:bookmarkEnd w:id="530"/>
    </w:p>
    <w:p>
      <w:pPr>
        <w:spacing w:before="0" w:after="80" w:line="240" w:lineRule="exact"/>
        <w:ind w:hanging="720" w:left="720"/>
        <w:jc w:val="both"/>
      </w:pPr>
      <w:bookmarkStart w:id="531"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1"/>
    </w:p>
    <w:p>
      <w:pPr>
        <w:spacing w:before="0" w:after="80" w:line="240" w:lineRule="exact"/>
        <w:ind w:hanging="720" w:left="720"/>
        <w:jc w:val="both"/>
      </w:pPr>
      <w:bookmarkStart w:id="532"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2"/>
    </w:p>
    <w:p>
      <w:pPr>
        <w:spacing w:before="0" w:after="80" w:line="240" w:lineRule="exact"/>
        <w:ind w:hanging="720" w:left="720"/>
        <w:jc w:val="both"/>
      </w:pPr>
      <w:bookmarkStart w:id="533" w:name="Sastry2024"/>
      <w:hyperlink w:anchor="Sastry2024txt" w:history="1">
        <w:r>
          <w:rPr>
            <w:color w:val="1F3864"/>
            <w:u w:val="single"/>
          </w:rPr>
          <w:t xml:space="preserve">Sastry, G., L. Heim, et al. (2024). </w:t>
        </w:r>
      </w:hyperlink>
      <w:r>
        <w:t>“Computing Power and the Governance of Artificial Intelligence.” arXiv:2402.08797.</w:t>
      </w:r>
      <w:bookmarkEnd w:id="533"/>
    </w:p>
    <w:p>
      <w:pPr>
        <w:spacing w:before="0" w:after="80" w:line="240" w:lineRule="exact"/>
        <w:ind w:hanging="720" w:left="720"/>
        <w:jc w:val="both"/>
      </w:pPr>
      <w:bookmarkStart w:id="534"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4"/>
    </w:p>
    <w:p>
      <w:pPr>
        <w:spacing w:before="0" w:after="80" w:line="240" w:lineRule="exact"/>
        <w:ind w:hanging="720" w:left="720"/>
        <w:jc w:val="both"/>
      </w:pPr>
      <w:bookmarkStart w:id="535"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5"/>
    </w:p>
    <w:p>
      <w:pPr>
        <w:spacing w:before="0" w:after="80" w:line="240" w:lineRule="exact"/>
        <w:ind w:hanging="720" w:left="720"/>
        <w:jc w:val="both"/>
      </w:pPr>
      <w:bookmarkStart w:id="536" w:name="TurnerLee2025"/>
      <w:hyperlink w:anchor="TurnerLee2025txt" w:history="1">
        <w:r>
          <w:rPr>
            <w:color w:val="1F3864"/>
            <w:u w:val="single"/>
          </w:rPr>
          <w:t xml:space="preserve">Turner Lee, N., and D. West. (2025). </w:t>
        </w:r>
      </w:hyperlink>
      <w:r>
        <w:t>“The Future of Data Centers.” Brookings Institution, November 2025.</w:t>
      </w:r>
      <w:bookmarkEnd w:id="536"/>
    </w:p>
    <w:p>
      <w:pPr>
        <w:spacing w:before="0" w:after="80" w:line="240" w:lineRule="exact"/>
        <w:ind w:hanging="720" w:left="720"/>
        <w:jc w:val="both"/>
      </w:pPr>
      <w:bookmarkStart w:id="537" w:name="DOJFTC2010"/>
      <w:r>
        <w:rPr>
          <w:color w:val="1F3864"/>
          <w:u w:val="single"/>
        </w:rPr>
        <w:t xml:space="preserve">U.S. Department of Justice and Federal Trade Commission. </w:t>
      </w:r>
      <w:r>
        <w:t xml:space="preserve">(2010). </w:t>
      </w:r>
      <w:r>
        <w:rPr>
          <w:i/>
        </w:rPr>
        <w:t>Horizontal Merger Guidelines</w:t>
      </w:r>
      <w:r>
        <w:t>. Washington, DC.</w:t>
      </w:r>
      <w:bookmarkEnd w:id="537"/>
    </w:p>
    <w:p>
      <w:pPr>
        <w:spacing w:before="0" w:after="80" w:line="240" w:lineRule="exact"/>
        <w:ind w:hanging="720" w:left="720"/>
        <w:jc w:val="both"/>
      </w:pPr>
      <w:bookmarkStart w:id="538" w:name="UNCTAD2025"/>
      <w:r>
        <w:rPr>
          <w:color w:val="1F3864"/>
          <w:u w:val="single"/>
        </w:rPr>
        <w:t xml:space="preserve">UNCTAD. </w:t>
      </w:r>
      <w:r>
        <w:t xml:space="preserve">(2025). </w:t>
      </w:r>
      <w:r>
        <w:rPr>
          <w:i/>
        </w:rPr>
        <w:t>Technology and Innovation Report 2025</w:t>
      </w:r>
      <w:r>
        <w:t>. Geneva: United Nations.</w:t>
      </w:r>
      <w:bookmarkEnd w:id="538"/>
    </w:p>
    <w:p>
      <w:pPr>
        <w:spacing w:before="0" w:after="80" w:line="240" w:lineRule="exact"/>
        <w:ind w:hanging="720" w:left="720"/>
        <w:jc w:val="both"/>
      </w:pPr>
      <w:bookmarkStart w:id="53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9"/>
    </w:p>
    <w:p>
      <w:pPr>
        <w:spacing w:before="0" w:after="80" w:line="240" w:lineRule="exact"/>
        <w:ind w:hanging="720" w:left="720"/>
        <w:jc w:val="both"/>
      </w:pPr>
      <w:bookmarkStart w:id="540"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0"/>
    </w:p>
    <w:p>
      <w:pPr>
        <w:spacing w:before="0" w:after="80" w:line="240" w:lineRule="exact"/>
        <w:ind w:hanging="720" w:left="720"/>
        <w:jc w:val="both"/>
      </w:pPr>
      <w:bookmarkStart w:id="541"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1"/>
    </w:p>
    <w:p>
      <w:pPr>
        <w:spacing w:before="0" w:after="80" w:line="240" w:lineRule="exact"/>
        <w:ind w:hanging="720" w:left="720"/>
        <w:jc w:val="both"/>
      </w:pPr>
      <w:bookmarkStart w:id="542"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2"/>
    </w:p>
    <w:p>
      <w:pPr>
        <w:spacing w:before="0" w:after="80" w:line="240" w:lineRule="exact"/>
        <w:ind w:hanging="720" w:left="720"/>
        <w:jc w:val="both"/>
      </w:pPr>
      <w:bookmarkStart w:id="543"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3" w:name="WorldBank2024txt"/>
      <w:hyperlink w:anchor="WorldBank2024" w:history="1">
        <w:r>
          <w:rPr>
            <w:color w:val="1F3864"/>
            <w:u w:val="single"/>
          </w:rPr>
          <w:t xml:space="preserve">World Bank</w:t>
        </w:r>
      </w:hyperlink>
      <w:bookmarkEnd w:id="233"/>
      <w:r>
        <w:t xml:space="preserve">.</w:t>
      </w:r>
      <w:bookmarkEnd w:id="543"/>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0.85;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0.93</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+12</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+56</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+51</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$1.82</w:t>
            </w:r>
          </w:p>
        </w:tc>
        <w:tc>
          <w:tcPr>
            <w:tcW w:w="450" w:type="dxa"/>
          </w:tcPr>
          <w:p>
            <w:pPr>
              <w:jc w:val="center"/>
              <w:spacing w:before="10" w:after="10"/>
            </w:pPr>
            <w:r/>
            <w:r>
              <w:rPr>
                <w:rFonts w:ascii="Times New Roman" w:hAnsi="Times New Roman"/>
                <w:sz w:val="16"/>
              </w:rPr>
              <w:t>0.84</w:t>
            </w:r>
          </w:p>
        </w:tc>
        <w:tc>
          <w:tcPr>
            <w:tcW w:w="540" w:type="dxa"/>
          </w:tcPr>
          <w:p>
            <w:pPr>
              <w:jc w:val="center"/>
              <w:spacing w:before="10" w:after="10"/>
            </w:pPr>
            <w:r/>
            <w:r>
              <w:rPr>
                <w:rFonts w:ascii="Times New Roman" w:hAnsi="Times New Roman"/>
                <w:sz w:val="16"/>
              </w:rPr>
              <w:t>40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$1.82</w:t>
            </w:r>
          </w:p>
        </w:tc>
        <w:tc>
          <w:tcPr>
            <w:tcW w:w="540" w:type="dxa"/>
          </w:tcPr>
          <w:p>
            <w:pPr>
              <w:jc w:val="center"/>
              <w:spacing w:before="10" w:after="10"/>
            </w:pPr>
            <w:r/>
            <w:r>
              <w:rPr>
                <w:rFonts w:ascii="Times New Roman" w:hAnsi="Times New Roman"/>
                <w:b/>
                <w:sz w:val="16"/>
              </w:rPr>
              <w:t>40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$1.95</w:t>
            </w:r>
          </w:p>
        </w:tc>
        <w:tc>
          <w:tcPr>
            <w:tcW w:w="450" w:type="dxa"/>
          </w:tcPr>
          <w:p>
            <w:pPr>
              <w:jc w:val="center"/>
              <w:spacing w:before="10" w:after="10"/>
            </w:pPr>
            <w:r/>
            <w:r>
              <w:rPr>
                <w:rFonts w:ascii="Times New Roman" w:hAnsi="Times New Roman"/>
                <w:sz w:val="16"/>
              </w:rPr>
              <w:t>0.78</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$1.95</w:t>
            </w:r>
          </w:p>
        </w:tc>
        <w:tc>
          <w:tcPr>
            <w:tcW w:w="540" w:type="dxa"/>
          </w:tcPr>
          <w:p>
            <w:pPr>
              <w:jc w:val="center"/>
              <w:spacing w:before="10" w:after="10"/>
            </w:pPr>
            <w:r/>
            <w:r>
              <w:rPr>
                <w:rFonts w:ascii="Times New Roman" w:hAnsi="Times New Roman"/>
                <w:b/>
                <w:sz w:val="16"/>
              </w:rPr>
              <w:t>44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$2.25</w:t>
            </w:r>
          </w:p>
        </w:tc>
        <w:tc>
          <w:tcPr>
            <w:tcW w:w="450" w:type="dxa"/>
          </w:tcPr>
          <w:p>
            <w:pPr>
              <w:jc w:val="center"/>
              <w:spacing w:before="10" w:after="10"/>
            </w:pPr>
            <w:r/>
            <w:r>
              <w:rPr>
                <w:rFonts w:ascii="Times New Roman" w:hAnsi="Times New Roman"/>
                <w:sz w:val="16"/>
              </w:rPr>
              <w:t>0.64</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$2.25</w:t>
            </w:r>
          </w:p>
        </w:tc>
        <w:tc>
          <w:tcPr>
            <w:tcW w:w="540" w:type="dxa"/>
          </w:tcPr>
          <w:p>
            <w:pPr>
              <w:jc w:val="center"/>
              <w:spacing w:before="10" w:after="10"/>
            </w:pPr>
            <w:r/>
            <w:r>
              <w:rPr>
                <w:rFonts w:ascii="Times New Roman" w:hAnsi="Times New Roman"/>
                <w:b/>
                <w:sz w:val="16"/>
              </w:rPr>
              <w:t>54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$2.32</w:t>
            </w:r>
          </w:p>
        </w:tc>
        <w:tc>
          <w:tcPr>
            <w:tcW w:w="450" w:type="dxa"/>
          </w:tcPr>
          <w:p>
            <w:pPr>
              <w:jc w:val="center"/>
              <w:spacing w:before="10" w:after="10"/>
            </w:pPr>
            <w:r/>
            <w:r>
              <w:rPr>
                <w:rFonts w:ascii="Times New Roman" w:hAnsi="Times New Roman"/>
                <w:sz w:val="16"/>
              </w:rPr>
              <w:t>0.63</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$2.32</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-37</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$2.35</w:t>
            </w:r>
          </w:p>
        </w:tc>
        <w:tc>
          <w:tcPr>
            <w:tcW w:w="450" w:type="dxa"/>
          </w:tcPr>
          <w:p>
            <w:pPr>
              <w:jc w:val="center"/>
              <w:spacing w:before="10" w:after="10"/>
            </w:pPr>
            <w:r/>
            <w:r>
              <w:rPr>
                <w:rFonts w:ascii="Times New Roman" w:hAnsi="Times New Roman"/>
                <w:sz w:val="16"/>
              </w:rPr>
              <w:t>0.61</w:t>
            </w:r>
          </w:p>
        </w:tc>
        <w:tc>
          <w:tcPr>
            <w:tcW w:w="540" w:type="dxa"/>
          </w:tcPr>
          <w:p>
            <w:pPr>
              <w:jc w:val="center"/>
              <w:spacing w:before="10" w:after="10"/>
            </w:pPr>
            <w:r/>
            <w:r>
              <w:rPr>
                <w:rFonts w:ascii="Times New Roman" w:hAnsi="Times New Roman"/>
                <w:sz w:val="16"/>
              </w:rPr>
              <w:t>61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$2.35</w:t>
            </w:r>
          </w:p>
        </w:tc>
        <w:tc>
          <w:tcPr>
            <w:tcW w:w="540" w:type="dxa"/>
          </w:tcPr>
          <w:p>
            <w:pPr>
              <w:jc w:val="center"/>
              <w:spacing w:before="10" w:after="10"/>
            </w:pPr>
            <w:r/>
            <w:r>
              <w:rPr>
                <w:rFonts w:ascii="Times New Roman" w:hAnsi="Times New Roman"/>
                <w:b/>
                <w:sz w:val="16"/>
              </w:rPr>
              <w:t>61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-52</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$2.36</w:t>
            </w:r>
          </w:p>
        </w:tc>
        <w:tc>
          <w:tcPr>
            <w:tcW w:w="450" w:type="dxa"/>
          </w:tcPr>
          <w:p>
            <w:pPr>
              <w:jc w:val="center"/>
              <w:spacing w:before="10" w:after="10"/>
            </w:pPr>
            <w:r/>
            <w:r>
              <w:rPr>
                <w:rFonts w:ascii="Times New Roman" w:hAnsi="Times New Roman"/>
                <w:sz w:val="16"/>
              </w:rPr>
              <w:t>0.62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$2.36</w:t>
            </w:r>
          </w:p>
        </w:tc>
        <w:tc>
          <w:tcPr>
            <w:tcW w:w="540" w:type="dxa"/>
          </w:tcPr>
          <w:p>
            <w:pPr>
              <w:jc w:val="center"/>
              <w:spacing w:before="10" w:after="10"/>
            </w:pPr>
            <w:r/>
            <w:r>
              <w:rPr>
                <w:rFonts w:ascii="Times New Roman" w:hAnsi="Times New Roman"/>
                <w:b/>
                <w:sz w:val="16"/>
              </w:rPr>
              <w:t>62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-44</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$2.53</w:t>
            </w:r>
          </w:p>
        </w:tc>
        <w:tc>
          <w:tcPr>
            <w:tcW w:w="450" w:type="dxa"/>
          </w:tcPr>
          <w:p>
            <w:pPr>
              <w:jc w:val="center"/>
              <w:spacing w:before="10" w:after="10"/>
            </w:pPr>
            <w:r/>
            <w:r>
              <w:rPr>
                <w:rFonts w:ascii="Times New Roman" w:hAnsi="Times New Roman"/>
                <w:sz w:val="16"/>
              </w:rPr>
              <w:t>0.58</w:t>
            </w:r>
          </w:p>
        </w:tc>
        <w:tc>
          <w:tcPr>
            <w:tcW w:w="540" w:type="dxa"/>
          </w:tcPr>
          <w:p>
            <w:pPr>
              <w:jc w:val="center"/>
              <w:spacing w:before="10" w:after="10"/>
            </w:pPr>
            <w:r/>
            <w:r>
              <w:rPr>
                <w:rFonts w:ascii="Times New Roman" w:hAnsi="Times New Roman"/>
                <w:sz w:val="16"/>
              </w:rPr>
              <w:t>68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$2.53</w:t>
            </w:r>
          </w:p>
        </w:tc>
        <w:tc>
          <w:tcPr>
            <w:tcW w:w="540" w:type="dxa"/>
          </w:tcPr>
          <w:p>
            <w:pPr>
              <w:jc w:val="center"/>
              <w:spacing w:before="10" w:after="10"/>
            </w:pPr>
            <w:r/>
            <w:r>
              <w:rPr>
                <w:rFonts w:ascii="Times New Roman" w:hAnsi="Times New Roman"/>
                <w:b/>
                <w:sz w:val="16"/>
              </w:rPr>
              <w:t>68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-52</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$2.74</w:t>
            </w:r>
          </w:p>
        </w:tc>
        <w:tc>
          <w:tcPr>
            <w:tcW w:w="450" w:type="dxa"/>
          </w:tcPr>
          <w:p>
            <w:pPr>
              <w:jc w:val="center"/>
              <w:spacing w:before="10" w:after="10"/>
            </w:pPr>
            <w:r/>
            <w:r>
              <w:rPr>
                <w:rFonts w:ascii="Times New Roman" w:hAnsi="Times New Roman"/>
                <w:sz w:val="16"/>
              </w:rPr>
              <w:t>0.52</w:t>
            </w:r>
          </w:p>
        </w:tc>
        <w:tc>
          <w:tcPr>
            <w:tcW w:w="540" w:type="dxa"/>
          </w:tcPr>
          <w:p>
            <w:pPr>
              <w:jc w:val="center"/>
              <w:spacing w:before="10" w:after="10"/>
            </w:pPr>
            <w:r/>
            <w:r>
              <w:rPr>
                <w:rFonts w:ascii="Times New Roman" w:hAnsi="Times New Roman"/>
                <w:sz w:val="16"/>
              </w:rPr>
              <w:t>71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$2.74</w:t>
            </w:r>
          </w:p>
        </w:tc>
        <w:tc>
          <w:tcPr>
            <w:tcW w:w="540" w:type="dxa"/>
          </w:tcPr>
          <w:p>
            <w:pPr>
              <w:jc w:val="center"/>
              <w:spacing w:before="10" w:after="10"/>
            </w:pPr>
            <w:r/>
            <w:r>
              <w:rPr>
                <w:rFonts w:ascii="Times New Roman" w:hAnsi="Times New Roman"/>
                <w:b/>
                <w:sz w:val="16"/>
              </w:rPr>
              <w:t>71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$2.79</w:t>
            </w:r>
          </w:p>
        </w:tc>
        <w:tc>
          <w:tcPr>
            <w:tcW w:w="450" w:type="dxa"/>
          </w:tcPr>
          <w:p>
            <w:pPr>
              <w:jc w:val="center"/>
              <w:spacing w:before="10" w:after="10"/>
            </w:pPr>
            <w:r/>
            <w:r>
              <w:rPr>
                <w:rFonts w:ascii="Times New Roman" w:hAnsi="Times New Roman"/>
                <w:sz w:val="16"/>
              </w:rPr>
              <w:t>0.53</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$2.79</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$3.27</w:t>
            </w:r>
          </w:p>
        </w:tc>
        <w:tc>
          <w:tcPr>
            <w:tcW w:w="450" w:type="dxa"/>
          </w:tcPr>
          <w:p>
            <w:pPr>
              <w:jc w:val="center"/>
              <w:spacing w:before="10" w:after="10"/>
            </w:pPr>
            <w:r/>
            <w:r>
              <w:rPr>
                <w:rFonts w:ascii="Times New Roman" w:hAnsi="Times New Roman"/>
                <w:sz w:val="16"/>
              </w:rPr>
              <w:t>0.45</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$3.27</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-72</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$3.37</w:t>
            </w:r>
          </w:p>
        </w:tc>
        <w:tc>
          <w:tcPr>
            <w:tcW w:w="450" w:type="dxa"/>
          </w:tcPr>
          <w:p>
            <w:pPr>
              <w:jc w:val="center"/>
              <w:spacing w:before="10" w:after="10"/>
            </w:pPr>
            <w:r/>
            <w:r>
              <w:rPr>
                <w:rFonts w:ascii="Times New Roman" w:hAnsi="Times New Roman"/>
                <w:sz w:val="16"/>
              </w:rPr>
              <w:t>0.43</w:t>
            </w:r>
          </w:p>
        </w:tc>
        <w:tc>
          <w:tcPr>
            <w:tcW w:w="540" w:type="dxa"/>
          </w:tcPr>
          <w:p>
            <w:pPr>
              <w:jc w:val="center"/>
              <w:spacing w:before="10" w:after="10"/>
            </w:pPr>
            <w:r/>
            <w:r>
              <w:rPr>
                <w:rFonts w:ascii="Times New Roman" w:hAnsi="Times New Roman"/>
                <w:sz w:val="16"/>
              </w:rPr>
              <w:t>81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$3.37</w:t>
            </w:r>
          </w:p>
        </w:tc>
        <w:tc>
          <w:tcPr>
            <w:tcW w:w="540" w:type="dxa"/>
          </w:tcPr>
          <w:p>
            <w:pPr>
              <w:jc w:val="center"/>
              <w:spacing w:before="10" w:after="10"/>
            </w:pPr>
            <w:r/>
            <w:r>
              <w:rPr>
                <w:rFonts w:ascii="Times New Roman" w:hAnsi="Times New Roman"/>
                <w:b/>
                <w:sz w:val="16"/>
              </w:rPr>
              <w:t>81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-69</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$3.43</w:t>
            </w:r>
          </w:p>
        </w:tc>
        <w:tc>
          <w:tcPr>
            <w:tcW w:w="450" w:type="dxa"/>
          </w:tcPr>
          <w:p>
            <w:pPr>
              <w:jc w:val="center"/>
              <w:spacing w:before="10" w:after="10"/>
            </w:pPr>
            <w:r/>
            <w:r>
              <w:rPr>
                <w:rFonts w:ascii="Times New Roman" w:hAnsi="Times New Roman"/>
                <w:sz w:val="16"/>
              </w:rPr>
              <w:t>0.42</w:t>
            </w:r>
          </w:p>
        </w:tc>
        <w:tc>
          <w:tcPr>
            <w:tcW w:w="540" w:type="dxa"/>
          </w:tcPr>
          <w:p>
            <w:pPr>
              <w:jc w:val="center"/>
              <w:spacing w:before="10" w:after="10"/>
            </w:pPr>
            <w:r/>
            <w:r>
              <w:rPr>
                <w:rFonts w:ascii="Times New Roman" w:hAnsi="Times New Roman"/>
                <w:sz w:val="16"/>
              </w:rPr>
              <w:t>82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$3.43</w:t>
            </w:r>
          </w:p>
        </w:tc>
        <w:tc>
          <w:tcPr>
            <w:tcW w:w="540" w:type="dxa"/>
          </w:tcPr>
          <w:p>
            <w:pPr>
              <w:jc w:val="center"/>
              <w:spacing w:before="10" w:after="10"/>
            </w:pPr>
            <w:r/>
            <w:r>
              <w:rPr>
                <w:rFonts w:ascii="Times New Roman" w:hAnsi="Times New Roman"/>
                <w:b/>
                <w:sz w:val="16"/>
              </w:rPr>
              <w:t>82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-79</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$3.77</w:t>
            </w:r>
          </w:p>
        </w:tc>
        <w:tc>
          <w:tcPr>
            <w:tcW w:w="450" w:type="dxa"/>
          </w:tcPr>
          <w:p>
            <w:pPr>
              <w:jc w:val="center"/>
              <w:spacing w:before="10" w:after="10"/>
            </w:pPr>
            <w:r/>
            <w:r>
              <w:rPr>
                <w:rFonts w:ascii="Times New Roman" w:hAnsi="Times New Roman"/>
                <w:sz w:val="16"/>
              </w:rPr>
              <w:t>0.39</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$3.77</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-82</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$4.27</w:t>
            </w:r>
          </w:p>
        </w:tc>
        <w:tc>
          <w:tcPr>
            <w:tcBorders>
              <w:bottom w:val="double" w:sz="4" w:space="0" w:color="auto"/>
            </w:tcBorders>
            <w:tcW w:w="450" w:type="dxa"/>
          </w:tcPr>
          <w:p>
            <w:pPr>
              <w:jc w:val="center"/>
              <w:spacing w:before="10" w:after="10"/>
            </w:pPr>
            <w:r/>
            <w:r>
              <w:rPr>
                <w:rFonts w:ascii="Times New Roman" w:hAnsi="Times New Roman"/>
                <w:sz w:val="16"/>
              </w:rPr>
              <w:t>0.34</w:t>
            </w:r>
          </w:p>
        </w:tc>
        <w:tc>
          <w:tcPr>
            <w:tcBorders>
              <w:bottom w:val="double" w:sz="4" w:space="0" w:color="auto"/>
            </w:tcBorders>
            <w:tcW w:w="540" w:type="dxa"/>
          </w:tcPr>
          <w:p>
            <w:pPr>
              <w:jc w:val="center"/>
              <w:spacing w:before="10" w:after="10"/>
            </w:pPr>
            <w:r/>
            <w:r>
              <w:rPr>
                <w:rFonts w:ascii="Times New Roman" w:hAnsi="Times New Roman"/>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$4.27</w:t>
            </w:r>
          </w:p>
        </w:tc>
        <w:tc>
          <w:tcPr>
            <w:tcBorders>
              <w:bottom w:val="double" w:sz="4" w:space="0" w:color="auto"/>
            </w:tcBorders>
            <w:tcW w:w="540" w:type="dxa"/>
          </w:tcPr>
          <w:p>
            <w:pPr>
              <w:jc w:val="center"/>
              <w:spacing w:before="10" w:after="10"/>
            </w:pPr>
            <w:r/>
            <w:r>
              <w:rPr>
                <w:rFonts w:ascii="Times New Roman" w:hAnsi="Times New Roman"/>
                <w:b/>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-83</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−7.7%</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−7.5%</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−4.3%</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−1.4%</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−1.3%</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−0.0%</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0.2%</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$1.60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0.6%</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$1.82</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40</w:t>
            </w:r>
          </w:p>
        </w:tc>
        <w:tc>
          <w:tcPr>
            <w:tcW w:w="1100" w:type="dxa"/>
          </w:tcPr>
          <w:p>
            <w:pPr>
              <w:jc w:val="center"/>
              <w:spacing w:before="10" w:after="10"/>
            </w:pPr>
            <w:r/>
            <w:r>
              <w:rPr>
                <w:rFonts w:ascii="Times New Roman" w:hAnsi="Times New Roman"/>
                <w:sz w:val="16"/>
              </w:rPr>
              <w:t>14.1%</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$1.95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44</w:t>
            </w:r>
          </w:p>
        </w:tc>
        <w:tc>
          <w:tcPr>
            <w:tcW w:w="1100" w:type="dxa"/>
          </w:tcPr>
          <w:p>
            <w:pPr>
              <w:jc w:val="center"/>
              <w:spacing w:before="10" w:after="10"/>
            </w:pPr>
            <w:r/>
            <w:r>
              <w:rPr>
                <w:rFonts w:ascii="Times New Roman" w:hAnsi="Times New Roman"/>
                <w:sz w:val="16"/>
              </w:rPr>
              <w:t>22.8%</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$2.25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54</w:t>
            </w:r>
          </w:p>
        </w:tc>
        <w:tc>
          <w:tcPr>
            <w:tcW w:w="1100" w:type="dxa"/>
          </w:tcPr>
          <w:p>
            <w:pPr>
              <w:jc w:val="center"/>
              <w:spacing w:before="10" w:after="10"/>
            </w:pPr>
            <w:r/>
            <w:r>
              <w:rPr>
                <w:rFonts w:ascii="Times New Roman" w:hAnsi="Times New Roman"/>
                <w:sz w:val="16"/>
              </w:rPr>
              <w:t>41.3%</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$2.32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59</w:t>
            </w:r>
          </w:p>
        </w:tc>
        <w:tc>
          <w:tcPr>
            <w:tcW w:w="1100" w:type="dxa"/>
          </w:tcPr>
          <w:p>
            <w:pPr>
              <w:jc w:val="center"/>
              <w:spacing w:before="10" w:after="10"/>
            </w:pPr>
            <w:r/>
            <w:r>
              <w:rPr>
                <w:rFonts w:ascii="Times New Roman" w:hAnsi="Times New Roman"/>
                <w:sz w:val="16"/>
              </w:rPr>
              <w:t>45.7%</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$2.35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61</w:t>
            </w:r>
          </w:p>
        </w:tc>
        <w:tc>
          <w:tcPr>
            <w:tcW w:w="1100" w:type="dxa"/>
          </w:tcPr>
          <w:p>
            <w:pPr>
              <w:jc w:val="center"/>
              <w:spacing w:before="10" w:after="10"/>
            </w:pPr>
            <w:r/>
            <w:r>
              <w:rPr>
                <w:rFonts w:ascii="Times New Roman" w:hAnsi="Times New Roman"/>
                <w:sz w:val="16"/>
              </w:rPr>
              <w:t>47.9%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$2.36</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62</w:t>
            </w:r>
          </w:p>
        </w:tc>
        <w:tc>
          <w:tcPr>
            <w:tcW w:w="1100" w:type="dxa"/>
          </w:tcPr>
          <w:p>
            <w:pPr>
              <w:jc w:val="center"/>
              <w:spacing w:before="10" w:after="10"/>
            </w:pPr>
            <w:r/>
            <w:r>
              <w:rPr>
                <w:rFonts w:ascii="Times New Roman" w:hAnsi="Times New Roman"/>
                <w:sz w:val="16"/>
              </w:rPr>
              <w:t>48.0%</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$2.53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68</w:t>
            </w:r>
          </w:p>
        </w:tc>
        <w:tc>
          <w:tcPr>
            <w:tcW w:w="1100" w:type="dxa"/>
          </w:tcPr>
          <w:p>
            <w:pPr>
              <w:jc w:val="center"/>
              <w:spacing w:before="10" w:after="10"/>
            </w:pPr>
            <w:r/>
            <w:r>
              <w:rPr>
                <w:rFonts w:ascii="Times New Roman" w:hAnsi="Times New Roman"/>
                <w:sz w:val="16"/>
              </w:rPr>
              <w:t>58.9%</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$2.74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71</w:t>
            </w:r>
          </w:p>
        </w:tc>
        <w:tc>
          <w:tcPr>
            <w:tcW w:w="1100" w:type="dxa"/>
          </w:tcPr>
          <w:p>
            <w:pPr>
              <w:jc w:val="center"/>
              <w:spacing w:before="10" w:after="10"/>
            </w:pPr>
            <w:r/>
            <w:r>
              <w:rPr>
                <w:rFonts w:ascii="Times New Roman" w:hAnsi="Times New Roman"/>
                <w:sz w:val="16"/>
              </w:rPr>
              <w:t>71.9%</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$2.79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73</w:t>
            </w:r>
          </w:p>
        </w:tc>
        <w:tc>
          <w:tcPr>
            <w:tcW w:w="1100" w:type="dxa"/>
          </w:tcPr>
          <w:p>
            <w:pPr>
              <w:jc w:val="center"/>
              <w:spacing w:before="10" w:after="10"/>
            </w:pPr>
            <w:r/>
            <w:r>
              <w:rPr>
                <w:rFonts w:ascii="Times New Roman" w:hAnsi="Times New Roman"/>
                <w:sz w:val="16"/>
              </w:rPr>
              <w:t>75.3%</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$3.27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105.3%</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$3.37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81</w:t>
            </w:r>
          </w:p>
        </w:tc>
        <w:tc>
          <w:tcPr>
            <w:tcW w:w="1100" w:type="dxa"/>
          </w:tcPr>
          <w:p>
            <w:pPr>
              <w:jc w:val="center"/>
              <w:spacing w:before="10" w:after="10"/>
            </w:pPr>
            <w:r/>
            <w:r>
              <w:rPr>
                <w:rFonts w:ascii="Times New Roman" w:hAnsi="Times New Roman"/>
                <w:sz w:val="16"/>
              </w:rPr>
              <w:t>111.4%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$3.43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82</w:t>
            </w:r>
          </w:p>
        </w:tc>
        <w:tc>
          <w:tcPr>
            <w:tcW w:w="1100" w:type="dxa"/>
          </w:tcPr>
          <w:p>
            <w:pPr>
              <w:jc w:val="center"/>
              <w:spacing w:before="10" w:after="10"/>
            </w:pPr>
            <w:r/>
            <w:r>
              <w:rPr>
                <w:rFonts w:ascii="Times New Roman" w:hAnsi="Times New Roman"/>
                <w:sz w:val="16"/>
              </w:rPr>
              <w:t>115.6%</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$3.77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136.7%</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$4.27</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85</w:t>
            </w:r>
          </w:p>
        </w:tc>
        <w:tc>
          <w:tcPr>
            <w:tcBorders>
              <w:bottom w:val="double" w:sz="4" w:space="0" w:color="auto"/>
            </w:tcBorders>
            <w:tcW w:w="1100" w:type="dxa"/>
          </w:tcPr>
          <w:p>
            <w:pPr>
              <w:jc w:val="center"/>
              <w:spacing w:before="10" w:after="10"/>
            </w:pPr>
            <w:r/>
            <w:r>
              <w:rPr>
                <w:rFonts w:ascii="Times New Roman" w:hAnsi="Times New Roman"/>
                <w:sz w:val="16"/>
              </w:rPr>
              <w:t>168.4%</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0.52</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0.97</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0.42</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0.43</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0.64</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0.58</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0.45</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0.63</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0.66</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0.34</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0.53</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0.66</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0.66</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0.39</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0.93</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0.46</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0.40</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0.66</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0.87</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0.82</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0.61</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0.92</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0.78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0.84</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0.64</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0.76</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0.72</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0.89</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0.93</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0.85;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cⱼ/ξⱼᵉᶠᶠ</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+65</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0.87</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$1.84</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$1.95</w:t>
            </w:r>
          </w:p>
        </w:tc>
        <w:tc>
          <w:tcPr>
            <w:tcW w:w="450" w:type="dxa"/>
          </w:tcPr>
          <w:p>
            <w:pPr>
              <w:jc w:val="center"/>
              <w:spacing w:before="5" w:after="5"/>
            </w:pPr>
            <w:r/>
            <w:r>
              <w:rPr>
                <w:rFonts w:ascii="Times New Roman" w:hAnsi="Times New Roman"/>
                <w:sz w:val="14"/>
              </w:rPr>
              <w:t>0.78</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$1.95</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$2.01</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$2.04</w:t>
            </w:r>
          </w:p>
        </w:tc>
        <w:tc>
          <w:tcPr>
            <w:tcW w:w="450" w:type="dxa"/>
          </w:tcPr>
          <w:p>
            <w:pPr>
              <w:jc w:val="center"/>
              <w:spacing w:before="5" w:after="5"/>
            </w:pPr>
            <w:r/>
            <w:r>
              <w:rPr>
                <w:rFonts w:ascii="Times New Roman" w:hAnsi="Times New Roman"/>
                <w:sz w:val="14"/>
              </w:rPr>
              <w:t>0.71</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$2.07</w:t>
            </w:r>
          </w:p>
        </w:tc>
        <w:tc>
          <w:tcPr>
            <w:tcW w:w="450" w:type="dxa"/>
          </w:tcPr>
          <w:p>
            <w:pPr>
              <w:jc w:val="center"/>
              <w:spacing w:before="5" w:after="5"/>
            </w:pPr>
            <w:r/>
            <w:r>
              <w:rPr>
                <w:rFonts w:ascii="Times New Roman" w:hAnsi="Times New Roman"/>
                <w:sz w:val="14"/>
              </w:rPr>
              <w:t>0.71</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$2.07</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$2.09</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450" w:type="dxa"/>
          </w:tcPr>
          <w:p>
            <w:pPr>
              <w:jc w:val="center"/>
              <w:spacing w:before="5" w:after="5"/>
            </w:pPr>
            <w:r/>
            <w:r>
              <w:rPr>
                <w:rFonts w:ascii="Times New Roman" w:hAnsi="Times New Roman"/>
                <w:sz w:val="14"/>
              </w:rPr>
              <w:t>0.71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$2.20</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$2.24</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$2.25</w:t>
            </w:r>
          </w:p>
        </w:tc>
        <w:tc>
          <w:tcPr>
            <w:tcW w:w="450" w:type="dxa"/>
          </w:tcPr>
          <w:p>
            <w:pPr>
              <w:jc w:val="center"/>
              <w:spacing w:before="5" w:after="5"/>
            </w:pPr>
            <w:r/>
            <w:r>
              <w:rPr>
                <w:rFonts w:ascii="Times New Roman" w:hAnsi="Times New Roman"/>
                <w:sz w:val="14"/>
              </w:rPr>
              <w:t>0.64</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450" w:type="dxa"/>
          </w:tcPr>
          <w:p>
            <w:pPr>
              <w:jc w:val="center"/>
              <w:spacing w:before="5" w:after="5"/>
            </w:pPr>
            <w:r/>
            <w:r>
              <w:rPr>
                <w:rFonts w:ascii="Times New Roman" w:hAnsi="Times New Roman"/>
                <w:sz w:val="14"/>
              </w:rPr>
              <w:t>0.63</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$2.35</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$2.35</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-45</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$2.35</w:t>
            </w:r>
          </w:p>
        </w:tc>
        <w:tc>
          <w:tcPr>
            <w:tcW w:w="450" w:type="dxa"/>
          </w:tcPr>
          <w:p>
            <w:pPr>
              <w:jc w:val="center"/>
              <w:spacing w:before="5" w:after="5"/>
            </w:pPr>
            <w:r/>
            <w:r>
              <w:rPr>
                <w:rFonts w:ascii="Times New Roman" w:hAnsi="Times New Roman"/>
                <w:sz w:val="14"/>
              </w:rPr>
              <w:t>0.61</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$2.35</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-52</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$2.36</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$2.38</w:t>
            </w:r>
          </w:p>
        </w:tc>
        <w:tc>
          <w:tcPr>
            <w:tcW w:w="450" w:type="dxa"/>
          </w:tcPr>
          <w:p>
            <w:pPr>
              <w:jc w:val="center"/>
              <w:spacing w:before="5" w:after="5"/>
            </w:pPr>
            <w:r/>
            <w:r>
              <w:rPr>
                <w:rFonts w:ascii="Times New Roman" w:hAnsi="Times New Roman"/>
                <w:sz w:val="14"/>
              </w:rPr>
              <w:t>0.64</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450" w:type="dxa"/>
          </w:tcPr>
          <w:p>
            <w:pPr>
              <w:jc w:val="center"/>
              <w:spacing w:before="5" w:after="5"/>
            </w:pPr>
            <w:r/>
            <w:r>
              <w:rPr>
                <w:rFonts w:ascii="Times New Roman" w:hAnsi="Times New Roman"/>
                <w:sz w:val="14"/>
              </w:rPr>
              <w:t>0.61</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$2.53</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-52</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$2.58</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$2.63</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$2.63</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$2.74</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$2.76</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$2.76</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$2.79</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$2.80</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$3.04</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$3.04</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$3.08</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$3.08</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$3.25</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$3.25</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$3.26</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$3.26</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$3.27</w:t>
            </w:r>
          </w:p>
        </w:tc>
        <w:tc>
          <w:tcPr>
            <w:tcW w:w="450" w:type="dxa"/>
          </w:tcPr>
          <w:p>
            <w:pPr>
              <w:jc w:val="center"/>
              <w:spacing w:before="5" w:after="5"/>
            </w:pPr>
            <w:r/>
            <w:r>
              <w:rPr>
                <w:rFonts w:ascii="Times New Roman" w:hAnsi="Times New Roman"/>
                <w:sz w:val="14"/>
              </w:rPr>
              <w:t>0.45</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$3.27</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-72</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$3.37</w:t>
            </w:r>
          </w:p>
        </w:tc>
        <w:tc>
          <w:tcPr>
            <w:tcW w:w="450" w:type="dxa"/>
          </w:tcPr>
          <w:p>
            <w:pPr>
              <w:jc w:val="center"/>
              <w:spacing w:before="5" w:after="5"/>
            </w:pPr>
            <w:r/>
            <w:r>
              <w:rPr>
                <w:rFonts w:ascii="Times New Roman" w:hAnsi="Times New Roman"/>
                <w:sz w:val="14"/>
              </w:rPr>
              <w:t>0.43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$3.37</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-69</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$3.43</w:t>
            </w:r>
          </w:p>
        </w:tc>
        <w:tc>
          <w:tcPr>
            <w:tcW w:w="450" w:type="dxa"/>
          </w:tcPr>
          <w:p>
            <w:pPr>
              <w:jc w:val="center"/>
              <w:spacing w:before="5" w:after="5"/>
            </w:pPr>
            <w:r/>
            <w:r>
              <w:rPr>
                <w:rFonts w:ascii="Times New Roman" w:hAnsi="Times New Roman"/>
                <w:sz w:val="14"/>
              </w:rPr>
              <w:t>0.42</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$3.43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-79</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$3.77</w:t>
            </w:r>
          </w:p>
        </w:tc>
        <w:tc>
          <w:tcPr>
            <w:tcW w:w="450" w:type="dxa"/>
          </w:tcPr>
          <w:p>
            <w:pPr>
              <w:jc w:val="center"/>
              <w:spacing w:before="5" w:after="5"/>
            </w:pPr>
            <w:r/>
            <w:r>
              <w:rPr>
                <w:rFonts w:ascii="Times New Roman" w:hAnsi="Times New Roman"/>
                <w:sz w:val="14"/>
              </w:rPr>
              <w:t>0.39</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-82</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$3.78</w:t>
            </w:r>
          </w:p>
        </w:tc>
        <w:tc>
          <w:tcPr>
            <w:tcW w:w="450" w:type="dxa"/>
          </w:tcPr>
          <w:p>
            <w:pPr>
              <w:jc w:val="center"/>
              <w:spacing w:before="5" w:after="5"/>
            </w:pPr>
            <w:r/>
            <w:r>
              <w:rPr>
                <w:rFonts w:ascii="Times New Roman" w:hAnsi="Times New Roman"/>
                <w:sz w:val="14"/>
              </w:rPr>
              <w:t>0.40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Turkmenistan</w:t>
            </w:r>
          </w:p>
        </w:tc>
        <w:tc>
          <w:tcPr>
            <w:tcBorders>
              <w:bottom w:val="double" w:sz="4" w:space="0" w:color="auto"/>
            </w:tcBorders>
            <w:tcW w:w="900" w:type="dxa"/>
          </w:tcPr>
          <w:p>
            <w:pPr>
              <w:jc w:val="center"/>
              <w:spacing w:before="5" w:after="5"/>
            </w:pPr>
            <w:r/>
            <w:r>
              <w:rPr>
                <w:rFonts w:ascii="Times New Roman" w:hAnsi="Times New Roman"/>
                <w:sz w:val="14"/>
              </w:rPr>
              <w:t>$1.41</w:t>
            </w:r>
          </w:p>
        </w:tc>
        <w:tc>
          <w:tcPr>
            <w:tcBorders>
              <w:bottom w:val="double" w:sz="4" w:space="0" w:color="auto"/>
            </w:tcBorders>
            <w:tcW w:w="540" w:type="dxa"/>
          </w:tcPr>
          <w:p>
            <w:pPr>
              <w:jc w:val="center"/>
              <w:spacing w:before="5" w:after="5"/>
            </w:pPr>
            <w:r/>
            <w:r>
              <w:rPr>
                <w:rFonts w:ascii="Times New Roman" w:hAnsi="Times New Roman"/>
                <w:sz w:val="14"/>
              </w:rPr>
              <w:t>2</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$1.47</w:t>
            </w:r>
          </w:p>
        </w:tc>
        <w:tc>
          <w:tcPr>
            <w:tcBorders>
              <w:bottom w:val="double" w:sz="4" w:space="0" w:color="auto"/>
            </w:tcBorders>
            <w:tcW w:w="540" w:type="dxa"/>
          </w:tcPr>
          <w:p>
            <w:pPr>
              <w:jc w:val="center"/>
              <w:spacing w:before="5" w:after="5"/>
            </w:pPr>
            <w:r/>
            <w:r>
              <w:rPr>
                <w:rFonts w:ascii="Times New Roman" w:hAnsi="Times New Roman"/>
                <w:sz w:val="14"/>
              </w:rPr>
              <w:t>18</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$4.27</w:t>
            </w:r>
          </w:p>
        </w:tc>
        <w:tc>
          <w:tcPr>
            <w:tcBorders>
              <w:bottom w:val="double" w:sz="4" w:space="0" w:color="auto"/>
            </w:tcBorders>
            <w:tcW w:w="450" w:type="dxa"/>
          </w:tcPr>
          <w:p>
            <w:pPr>
              <w:jc w:val="center"/>
              <w:spacing w:before="5" w:after="5"/>
            </w:pPr>
            <w:r/>
            <w:r>
              <w:rPr>
                <w:rFonts w:ascii="Times New Roman" w:hAnsi="Times New Roman"/>
                <w:sz w:val="14"/>
              </w:rPr>
              <w:t>0.34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$4.27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-83</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